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9" w:rsidRDefault="00B7523B">
      <w:pPr>
        <w:spacing w:line="4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平顶山市文化广电和旅游局</w:t>
      </w:r>
      <w:bookmarkStart w:id="0" w:name="_GoBack"/>
      <w:bookmarkEnd w:id="0"/>
      <w:r>
        <w:rPr>
          <w:rFonts w:ascii="方正小标宋_GBK" w:eastAsia="方正小标宋_GBK" w:hint="eastAsia"/>
          <w:sz w:val="40"/>
          <w:szCs w:val="40"/>
        </w:rPr>
        <w:t>随机抽查事项清单</w:t>
      </w:r>
    </w:p>
    <w:p w:rsidR="002301C9" w:rsidRDefault="002301C9">
      <w:pPr>
        <w:spacing w:line="580" w:lineRule="exact"/>
        <w:rPr>
          <w:rFonts w:ascii="仿宋_GB2312"/>
          <w:szCs w:val="32"/>
        </w:rPr>
      </w:pPr>
    </w:p>
    <w:tbl>
      <w:tblPr>
        <w:tblW w:w="14099" w:type="dxa"/>
        <w:tblInd w:w="93" w:type="dxa"/>
        <w:tblLayout w:type="fixed"/>
        <w:tblLook w:val="04A0"/>
      </w:tblPr>
      <w:tblGrid>
        <w:gridCol w:w="578"/>
        <w:gridCol w:w="1243"/>
        <w:gridCol w:w="2889"/>
        <w:gridCol w:w="1542"/>
        <w:gridCol w:w="2791"/>
        <w:gridCol w:w="854"/>
        <w:gridCol w:w="1133"/>
        <w:gridCol w:w="1083"/>
        <w:gridCol w:w="1273"/>
        <w:gridCol w:w="713"/>
      </w:tblGrid>
      <w:tr w:rsidR="002301C9" w:rsidTr="009103E2">
        <w:trPr>
          <w:trHeight w:val="31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事项名称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抽查依据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抽查</w:t>
            </w:r>
          </w:p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对象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抽查内容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抽查主体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抽查</w:t>
            </w:r>
          </w:p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方式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抽查</w:t>
            </w:r>
          </w:p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比例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kern w:val="0"/>
                <w:sz w:val="24"/>
              </w:rPr>
              <w:t>抽查频次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Courier New" w:cs="Courier New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301C9" w:rsidTr="009103E2">
        <w:trPr>
          <w:trHeight w:val="26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9103E2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对歌舞娱乐业的监督检查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《娱乐场所管理条例》（</w:t>
            </w:r>
            <w:r>
              <w:rPr>
                <w:rFonts w:ascii="仿宋_GB2312" w:hAnsi="仿宋" w:cs="仿宋"/>
                <w:kern w:val="0"/>
                <w:sz w:val="24"/>
              </w:rPr>
              <w:t>国务院令第458号</w:t>
            </w:r>
            <w:r>
              <w:rPr>
                <w:rFonts w:ascii="仿宋_GB2312" w:hAnsi="仿宋" w:cs="仿宋" w:hint="eastAsia"/>
                <w:kern w:val="0"/>
                <w:sz w:val="24"/>
              </w:rPr>
              <w:t>）</w:t>
            </w:r>
            <w:r>
              <w:rPr>
                <w:rFonts w:ascii="仿宋_GB2312" w:hAnsi="仿宋" w:cs="仿宋" w:hint="eastAsia"/>
                <w:color w:val="000000"/>
                <w:kern w:val="0"/>
                <w:sz w:val="24"/>
              </w:rPr>
              <w:t>第三条、第三十二条。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60" w:lineRule="exac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kern w:val="0"/>
                <w:sz w:val="24"/>
              </w:rPr>
              <w:t>以营利为目的，并向公众开放、消费者自娱自乐的歌舞、游艺等场所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娱乐场所日常经营活动。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kern w:val="0"/>
                <w:sz w:val="24"/>
              </w:rPr>
              <w:t>定期抽查和不定期抽查相结合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 w:rsidR="002301C9" w:rsidTr="009103E2">
        <w:trPr>
          <w:trHeight w:val="28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9103E2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对互联网上网服务营业场所的监督检查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《互联网上网服务营业场所管理条例》（</w:t>
            </w:r>
            <w:r>
              <w:rPr>
                <w:rFonts w:ascii="仿宋_GB2312" w:hAnsi="仿宋" w:cs="仿宋"/>
                <w:kern w:val="0"/>
                <w:sz w:val="24"/>
              </w:rPr>
              <w:t>国务院令第363号</w:t>
            </w:r>
            <w:r>
              <w:rPr>
                <w:rFonts w:ascii="仿宋_GB2312" w:hAnsi="仿宋" w:cs="仿宋" w:hint="eastAsia"/>
                <w:kern w:val="0"/>
                <w:sz w:val="24"/>
              </w:rPr>
              <w:t>）第四条。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互联网上网服务营业场所（网吧）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互联网上网服务营业场所经营活动。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kern w:val="0"/>
                <w:sz w:val="24"/>
              </w:rPr>
              <w:t>定期抽查和不定期抽查相结合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 w:rsidR="002301C9" w:rsidTr="009103E2">
        <w:trPr>
          <w:trHeight w:val="1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9103E2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对艺术品市场的监督检查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《艺术品经营管理办法》（文化部令第56号）第三条第三款。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艺术品经营单位或个人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艺术品经营活动。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定期抽查和不定期抽查相结合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 w:rsidR="002301C9" w:rsidTr="009103E2">
        <w:trPr>
          <w:trHeight w:val="22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9103E2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对营业性演出的监督检查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《营业性演出管理条例》（</w:t>
            </w:r>
            <w:r>
              <w:rPr>
                <w:rFonts w:ascii="仿宋_GB2312" w:hAnsi="仿宋" w:cs="仿宋"/>
                <w:kern w:val="0"/>
                <w:sz w:val="24"/>
              </w:rPr>
              <w:t>国务院令第439号</w:t>
            </w:r>
            <w:r>
              <w:rPr>
                <w:rFonts w:ascii="仿宋_GB2312" w:hAnsi="仿宋" w:cs="仿宋" w:hint="eastAsia"/>
                <w:kern w:val="0"/>
                <w:sz w:val="24"/>
              </w:rPr>
              <w:t>）第五条、第三十三条。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 xml:space="preserve">营业性演出活动和场所　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以营利为目的为公众举办的现场文艺表演活动。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定期抽查和不定期抽查相结合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301C9" w:rsidTr="009103E2">
        <w:trPr>
          <w:trHeight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9103E2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对互联网文化的监督检查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《互联网文化管理暂行规定》（文化部令第51号）第六条第三款。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 xml:space="preserve">互联网文化经营或非经营单位　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网络文化经营、互联网文化产品及其服务的活动。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定期抽查和不定期抽查相结合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301C9" w:rsidTr="009103E2">
        <w:trPr>
          <w:trHeight w:val="13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C24098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lastRenderedPageBreak/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对艺术培训的监督检查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《社会艺术水平考级管理办法》（</w:t>
            </w:r>
            <w:hyperlink r:id="rId8" w:tgtFrame="http://baike.baidu.com/item/_blank" w:history="1">
              <w:r>
                <w:rPr>
                  <w:rFonts w:ascii="仿宋_GB2312" w:hAnsi="仿宋" w:cs="仿宋" w:hint="eastAsia"/>
                  <w:color w:val="000000"/>
                  <w:sz w:val="24"/>
                </w:rPr>
                <w:t>文化部</w:t>
              </w:r>
            </w:hyperlink>
            <w:r>
              <w:rPr>
                <w:rFonts w:ascii="仿宋_GB2312" w:hAnsi="仿宋" w:cs="仿宋" w:hint="eastAsia"/>
                <w:color w:val="000000"/>
                <w:sz w:val="24"/>
              </w:rPr>
              <w:t>令第31号）第五条第一款。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艺术培训考级机构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贯彻执行国家关于艺术考级的政策、法规情况；</w:t>
            </w:r>
          </w:p>
          <w:p w:rsidR="002301C9" w:rsidRDefault="00B7523B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艺术考级活动。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400" w:lineRule="exact"/>
              <w:textAlignment w:val="center"/>
              <w:rPr>
                <w:rFonts w:ascii="仿宋_GB2312" w:hAnsi="仿宋" w:cs="仿宋"/>
                <w:kern w:val="0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定期抽查和不定期抽查相结合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 w:rsidR="002301C9" w:rsidTr="009103E2">
        <w:trPr>
          <w:trHeight w:val="32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C24098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对专网及定向传播视听节目服务监督检查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《专网及定向传播视听节目服务管理规定》(国家新闻出版广电总局令第6号)第二十五条、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第</w:t>
            </w:r>
            <w:r>
              <w:rPr>
                <w:rFonts w:ascii="仿宋_GB2312" w:hAnsi="仿宋" w:cs="仿宋" w:hint="eastAsia"/>
                <w:kern w:val="0"/>
                <w:sz w:val="24"/>
              </w:rPr>
              <w:t>二十六条、第二十七条、第二十八条、第二十九条。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从事专网及定向传播视听节目服务的单位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1.从事内容提供、集成播控、传输分发等专网及定向传播视听节目服务的；</w:t>
            </w:r>
          </w:p>
          <w:p w:rsidR="002301C9" w:rsidRDefault="00B7523B"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2.从事交互式网络电视（IPTV）传输服务、专网手机电视分发服务的；</w:t>
            </w:r>
          </w:p>
          <w:p w:rsidR="002301C9" w:rsidRDefault="00B7523B"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3.从事集成播控服务的。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定期抽查和不定期抽查相结合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kern w:val="0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 w:rsidR="002301C9" w:rsidTr="009103E2">
        <w:trPr>
          <w:trHeight w:val="13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C24098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长城执法巡查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《中华人民共和国文物保护法》第八条,《长城保护条例》（国务院令第476号）第四条。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46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舞钢市文物保护管理办公室、叶县文物管理局、鲁</w:t>
            </w:r>
            <w:r>
              <w:rPr>
                <w:rFonts w:ascii="仿宋_GB2312" w:hAnsi="仿宋" w:cs="仿宋" w:hint="eastAsia"/>
                <w:sz w:val="24"/>
              </w:rPr>
              <w:lastRenderedPageBreak/>
              <w:t>山县文物文管所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lastRenderedPageBreak/>
              <w:t>长城保护工作贯彻落实情况。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市文物管理局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Pr="009103E2" w:rsidRDefault="00B7523B">
            <w:pPr>
              <w:spacing w:line="400" w:lineRule="exact"/>
              <w:rPr>
                <w:rFonts w:ascii="仿宋_GB2312" w:hAnsi="仿宋" w:cs="仿宋"/>
                <w:sz w:val="21"/>
                <w:szCs w:val="21"/>
              </w:rPr>
            </w:pPr>
            <w:r w:rsidRPr="009103E2">
              <w:rPr>
                <w:rFonts w:ascii="仿宋_GB2312" w:hAnsi="仿宋" w:cs="仿宋" w:hint="eastAsia"/>
                <w:sz w:val="21"/>
                <w:szCs w:val="21"/>
              </w:rPr>
              <w:t>采取定期检查、重点抽查、上级督察、交叉</w:t>
            </w:r>
            <w:r w:rsidRPr="009103E2">
              <w:rPr>
                <w:rFonts w:ascii="仿宋_GB2312" w:hAnsi="仿宋" w:cs="仿宋" w:hint="eastAsia"/>
                <w:sz w:val="21"/>
                <w:szCs w:val="21"/>
              </w:rPr>
              <w:lastRenderedPageBreak/>
              <w:t>巡查、联合巡查等方式进行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lastRenderedPageBreak/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2次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 w:rsidR="002301C9" w:rsidTr="009103E2">
        <w:trPr>
          <w:trHeight w:val="9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C24098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文物保护单位执法巡查工作的监督检查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《中华人民共和国文物保护法》第八条。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本行政区域内市级以上(含市级)文物保护单位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执行文物保护法律、法规及文物保护工作贯彻落实情况。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市文物管理局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采取定期检查、重点抽查、专项督察相结合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</w:rPr>
              <w:t>不超过20%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1次</w:t>
            </w:r>
            <w:r>
              <w:rPr>
                <w:rFonts w:ascii="仿宋_GB2312" w:hint="eastAsia"/>
                <w:sz w:val="24"/>
              </w:rPr>
              <w:t>/年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 w:rsidR="002301C9" w:rsidTr="009103E2">
        <w:trPr>
          <w:trHeight w:val="15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C24098">
            <w:pPr>
              <w:widowControl/>
              <w:spacing w:line="500" w:lineRule="exact"/>
              <w:jc w:val="center"/>
              <w:rPr>
                <w:rFonts w:ascii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微软雅黑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对旅游市场实施监督管理及相关旅游经营行为实施监督</w:t>
            </w: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 xml:space="preserve">《中华人民共和国旅游法》第八十三条。 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旅游市场及相关旅游经营者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1.经营旅行社业务经及从事导游、领队服务是否取得经营、执业许可；</w:t>
            </w:r>
          </w:p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2.旅行社的经营行为；</w:t>
            </w:r>
            <w:r>
              <w:rPr>
                <w:rFonts w:ascii="仿宋_GB2312" w:hAnsi="宋体" w:cs="宋体" w:hint="eastAsia"/>
                <w:kern w:val="0"/>
                <w:sz w:val="24"/>
              </w:rPr>
              <w:br/>
              <w:t>3.导游和领队等旅游从业人员的服务行为；</w:t>
            </w:r>
            <w:r>
              <w:rPr>
                <w:rFonts w:ascii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4.法律、法规规定的其他事项。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现场检查、书面检查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2次／年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widowControl/>
              <w:spacing w:line="5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301C9" w:rsidTr="009103E2">
        <w:trPr>
          <w:trHeight w:val="8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="00C2409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对旅行社投保旅行社责任险监督检查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《旅行社责任保险管理办法》（国家旅游局中国保险监督管理委员会令第35号）第二十六条。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旅行社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依法设立的旅行社，是否投保旅行社责任保险。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市文化广电和旅游局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现场检查、书面检查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ind w:right="240"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B7523B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2次／年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C9" w:rsidRDefault="002301C9">
            <w:pPr>
              <w:widowControl/>
              <w:spacing w:line="5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301C9" w:rsidRDefault="002301C9"/>
    <w:sectPr w:rsidR="002301C9" w:rsidSect="002301C9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EF" w:rsidRDefault="00354AEF" w:rsidP="007910CD">
      <w:r>
        <w:separator/>
      </w:r>
    </w:p>
  </w:endnote>
  <w:endnote w:type="continuationSeparator" w:id="1">
    <w:p w:rsidR="00354AEF" w:rsidRDefault="00354AEF" w:rsidP="0079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1007"/>
      <w:docPartObj>
        <w:docPartGallery w:val="Page Numbers (Bottom of Page)"/>
        <w:docPartUnique/>
      </w:docPartObj>
    </w:sdtPr>
    <w:sdtContent>
      <w:p w:rsidR="00B940DD" w:rsidRDefault="00C2052E">
        <w:pPr>
          <w:pStyle w:val="a5"/>
          <w:jc w:val="center"/>
        </w:pPr>
        <w:fldSimple w:instr=" PAGE   \* MERGEFORMAT ">
          <w:r w:rsidR="00C24098" w:rsidRPr="00C24098">
            <w:rPr>
              <w:noProof/>
              <w:lang w:val="zh-CN"/>
            </w:rPr>
            <w:t>5</w:t>
          </w:r>
        </w:fldSimple>
      </w:p>
    </w:sdtContent>
  </w:sdt>
  <w:p w:rsidR="00B940DD" w:rsidRDefault="00B940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EF" w:rsidRDefault="00354AEF" w:rsidP="007910CD">
      <w:r>
        <w:separator/>
      </w:r>
    </w:p>
  </w:footnote>
  <w:footnote w:type="continuationSeparator" w:id="1">
    <w:p w:rsidR="00354AEF" w:rsidRDefault="00354AEF" w:rsidP="0079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1EC2"/>
    <w:multiLevelType w:val="singleLevel"/>
    <w:tmpl w:val="598D1EC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6341F1"/>
    <w:rsid w:val="002301C9"/>
    <w:rsid w:val="00354AEF"/>
    <w:rsid w:val="003F02FA"/>
    <w:rsid w:val="007910CD"/>
    <w:rsid w:val="009103E2"/>
    <w:rsid w:val="00B7523B"/>
    <w:rsid w:val="00B940DD"/>
    <w:rsid w:val="00C2052E"/>
    <w:rsid w:val="00C24098"/>
    <w:rsid w:val="00C25EDE"/>
    <w:rsid w:val="00D50BCB"/>
    <w:rsid w:val="066341F1"/>
    <w:rsid w:val="11FC3D16"/>
    <w:rsid w:val="21B71104"/>
    <w:rsid w:val="57E02E05"/>
    <w:rsid w:val="714570E8"/>
    <w:rsid w:val="7C58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1C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0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qFormat/>
    <w:rsid w:val="002301C9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"/>
    <w:rsid w:val="0079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10C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9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10C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2643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251</Words>
  <Characters>1433</Characters>
  <Application>Microsoft Office Word</Application>
  <DocSecurity>0</DocSecurity>
  <Lines>11</Lines>
  <Paragraphs>3</Paragraphs>
  <ScaleCrop>false</ScaleCrop>
  <Company>China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2017-10-19T07:15:00Z</dcterms:created>
  <dcterms:modified xsi:type="dcterms:W3CDTF">2019-11-08T09:46:00Z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