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34" w:rsidRPr="00016B34" w:rsidRDefault="00016B34" w:rsidP="00016B34">
      <w:pPr>
        <w:widowControl/>
        <w:shd w:val="clear" w:color="auto" w:fill="FFFFFF"/>
        <w:wordWrap w:val="0"/>
        <w:jc w:val="center"/>
        <w:rPr>
          <w:rFonts w:ascii="inherit" w:eastAsia="宋体" w:hAnsi="inherit" w:cs="宋体"/>
          <w:kern w:val="0"/>
          <w:sz w:val="27"/>
          <w:szCs w:val="27"/>
        </w:rPr>
      </w:pPr>
      <w:r w:rsidRPr="00016B34">
        <w:rPr>
          <w:rFonts w:ascii="inherit" w:eastAsia="宋体" w:hAnsi="inherit" w:cs="宋体"/>
          <w:kern w:val="0"/>
          <w:sz w:val="27"/>
          <w:szCs w:val="27"/>
        </w:rPr>
        <w:t>广播电视设施保护条例</w:t>
      </w:r>
    </w:p>
    <w:p w:rsidR="00016B34" w:rsidRPr="00016B34" w:rsidRDefault="00016B34" w:rsidP="00016B34">
      <w:pPr>
        <w:widowControl/>
        <w:shd w:val="clear" w:color="auto" w:fill="FFFFFF"/>
        <w:wordWrap w:val="0"/>
        <w:spacing w:after="225"/>
        <w:jc w:val="center"/>
        <w:rPr>
          <w:rFonts w:ascii="inherit" w:eastAsia="宋体" w:hAnsi="inherit" w:cs="宋体"/>
          <w:kern w:val="0"/>
          <w:szCs w:val="21"/>
        </w:rPr>
      </w:pPr>
      <w:r w:rsidRPr="00016B34">
        <w:rPr>
          <w:rFonts w:ascii="inherit" w:eastAsia="宋体" w:hAnsi="inherit" w:cs="宋体"/>
          <w:kern w:val="0"/>
          <w:szCs w:val="21"/>
        </w:rPr>
        <w:t>（</w:t>
      </w:r>
      <w:r w:rsidRPr="00016B34">
        <w:rPr>
          <w:rFonts w:ascii="inherit" w:eastAsia="宋体" w:hAnsi="inherit" w:cs="宋体"/>
          <w:kern w:val="0"/>
          <w:szCs w:val="21"/>
        </w:rPr>
        <w:t>2000</w:t>
      </w:r>
      <w:r w:rsidRPr="00016B34">
        <w:rPr>
          <w:rFonts w:ascii="inherit" w:eastAsia="宋体" w:hAnsi="inherit" w:cs="宋体"/>
          <w:kern w:val="0"/>
          <w:szCs w:val="21"/>
        </w:rPr>
        <w:t>年</w:t>
      </w:r>
      <w:r w:rsidRPr="00016B34">
        <w:rPr>
          <w:rFonts w:ascii="inherit" w:eastAsia="宋体" w:hAnsi="inherit" w:cs="宋体"/>
          <w:kern w:val="0"/>
          <w:szCs w:val="21"/>
        </w:rPr>
        <w:t>11</w:t>
      </w:r>
      <w:r w:rsidRPr="00016B34">
        <w:rPr>
          <w:rFonts w:ascii="inherit" w:eastAsia="宋体" w:hAnsi="inherit" w:cs="宋体"/>
          <w:kern w:val="0"/>
          <w:szCs w:val="21"/>
        </w:rPr>
        <w:t>月</w:t>
      </w:r>
      <w:r w:rsidRPr="00016B34">
        <w:rPr>
          <w:rFonts w:ascii="inherit" w:eastAsia="宋体" w:hAnsi="inherit" w:cs="宋体"/>
          <w:kern w:val="0"/>
          <w:szCs w:val="21"/>
        </w:rPr>
        <w:t>5</w:t>
      </w:r>
      <w:r w:rsidRPr="00016B34">
        <w:rPr>
          <w:rFonts w:ascii="inherit" w:eastAsia="宋体" w:hAnsi="inherit" w:cs="宋体"/>
          <w:kern w:val="0"/>
          <w:szCs w:val="21"/>
        </w:rPr>
        <w:t>日中华人民共和国国务院令第</w:t>
      </w:r>
      <w:r w:rsidRPr="00016B34">
        <w:rPr>
          <w:rFonts w:ascii="inherit" w:eastAsia="宋体" w:hAnsi="inherit" w:cs="宋体"/>
          <w:kern w:val="0"/>
          <w:szCs w:val="21"/>
        </w:rPr>
        <w:t>295</w:t>
      </w:r>
      <w:r w:rsidRPr="00016B34">
        <w:rPr>
          <w:rFonts w:ascii="inherit" w:eastAsia="宋体" w:hAnsi="inherit" w:cs="宋体"/>
          <w:kern w:val="0"/>
          <w:szCs w:val="21"/>
        </w:rPr>
        <w:t>号公布</w:t>
      </w:r>
      <w:r w:rsidRPr="00016B34">
        <w:rPr>
          <w:rFonts w:ascii="inherit" w:eastAsia="宋体" w:hAnsi="inherit" w:cs="宋体"/>
          <w:kern w:val="0"/>
          <w:szCs w:val="21"/>
        </w:rPr>
        <w:t xml:space="preserve"> </w:t>
      </w:r>
      <w:r w:rsidRPr="00016B34">
        <w:rPr>
          <w:rFonts w:ascii="inherit" w:eastAsia="宋体" w:hAnsi="inherit" w:cs="宋体"/>
          <w:kern w:val="0"/>
          <w:szCs w:val="21"/>
        </w:rPr>
        <w:t>自公布之日起施行）</w:t>
      </w:r>
    </w:p>
    <w:p w:rsidR="00016B34" w:rsidRPr="00016B34" w:rsidRDefault="00016B34" w:rsidP="00016B34">
      <w:pPr>
        <w:widowControl/>
        <w:shd w:val="clear" w:color="auto" w:fill="FFFFFF"/>
        <w:wordWrap w:val="0"/>
        <w:spacing w:after="225"/>
        <w:jc w:val="center"/>
        <w:rPr>
          <w:rFonts w:ascii="inherit" w:eastAsia="宋体" w:hAnsi="inherit" w:cs="宋体"/>
          <w:kern w:val="0"/>
          <w:sz w:val="25"/>
          <w:szCs w:val="25"/>
        </w:rPr>
      </w:pPr>
      <w:r w:rsidRPr="00016B34">
        <w:rPr>
          <w:rFonts w:ascii="inherit" w:eastAsia="宋体" w:hAnsi="inherit" w:cs="宋体"/>
          <w:kern w:val="0"/>
          <w:sz w:val="25"/>
          <w:szCs w:val="25"/>
        </w:rPr>
        <w:t>第一章</w:t>
      </w:r>
      <w:r w:rsidRPr="00016B34">
        <w:rPr>
          <w:rFonts w:ascii="inherit" w:eastAsia="宋体" w:hAnsi="inherit" w:cs="宋体"/>
          <w:kern w:val="0"/>
          <w:sz w:val="25"/>
          <w:szCs w:val="25"/>
        </w:rPr>
        <w:t xml:space="preserve"> </w:t>
      </w:r>
      <w:r w:rsidRPr="00016B34">
        <w:rPr>
          <w:rFonts w:ascii="inherit" w:eastAsia="宋体" w:hAnsi="inherit" w:cs="宋体"/>
          <w:kern w:val="0"/>
          <w:sz w:val="25"/>
          <w:szCs w:val="25"/>
        </w:rPr>
        <w:t>总则</w:t>
      </w:r>
    </w:p>
    <w:tbl>
      <w:tblPr>
        <w:tblW w:w="0" w:type="auto"/>
        <w:tblCellSpacing w:w="15" w:type="dxa"/>
        <w:tblCellMar>
          <w:top w:w="15" w:type="dxa"/>
          <w:left w:w="15" w:type="dxa"/>
          <w:bottom w:w="15" w:type="dxa"/>
          <w:right w:w="15" w:type="dxa"/>
        </w:tblCellMar>
        <w:tblLook w:val="04A0"/>
      </w:tblPr>
      <w:tblGrid>
        <w:gridCol w:w="855"/>
        <w:gridCol w:w="754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第一条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为了维护广播电视设施的安全，确保广播电视信号顺利优质地播放和接收，制定本条例。</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2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第二条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在中华人民共和国境内依法设立的广播电视台、站（包括有线广播电视台、站，下同）和广播电视传输网的下列设施的保护，适用本条例：</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（一）广播电视信号发射设施，包括天线、馈线、塔桅（杆）、地网、卫星发射天线及其附属设备等；</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（二）广播电视信号专用传输设施，包括电缆线路、光缆线路（以下统称传输线路）、塔桅（杆）、微波等空中专用传输通路、微波站、卫星地面接收设施、转播设备及其附属设备等；</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（三）广播电视信号监测设施，包括监测接收天线、馈线、塔桅（杆）、测向场强室及其附属设备等。</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传输广播电视信号所利用的公用通信等网络设施的保护和管理，依照有关法律、行政法规的规定执行。</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2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第三条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县级以上人民政府应当将广播电视设施的规划和保护纳入城乡建设总体规划，并加强广播电视设施保护的宣传教育工作。</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县级以上人民政府负责广播电视行政管理工作的部门或者机构（以下统称广播电视行政管理部门）负责所管辖的广播电视设施的保护工作，并采取措施，确保广播电视设施的安全。</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2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第四条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任何单位和个人均有保护广播电视设施的义务。</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禁止任何单位和个人侵占、哄抢、私分、截留、破坏广播电视设施。</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任何单位和个人对危害广播电视设施的行为，均有权制止并向有关部门报告。</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28" style="width:0;height:.75pt" o:hralign="center" o:hrstd="t" o:hrnoshade="t" o:hr="t" fillcolor="#ddd" stroked="f"/>
        </w:pict>
      </w:r>
    </w:p>
    <w:p w:rsidR="00016B34" w:rsidRPr="00016B34" w:rsidRDefault="00016B34" w:rsidP="00016B34">
      <w:pPr>
        <w:widowControl/>
        <w:shd w:val="clear" w:color="auto" w:fill="FFFFFF"/>
        <w:wordWrap w:val="0"/>
        <w:spacing w:after="225"/>
        <w:jc w:val="center"/>
        <w:rPr>
          <w:rFonts w:ascii="inherit" w:eastAsia="宋体" w:hAnsi="inherit" w:cs="宋体"/>
          <w:kern w:val="0"/>
          <w:sz w:val="25"/>
          <w:szCs w:val="25"/>
        </w:rPr>
      </w:pPr>
      <w:r w:rsidRPr="00016B34">
        <w:rPr>
          <w:rFonts w:ascii="inherit" w:eastAsia="宋体" w:hAnsi="inherit" w:cs="宋体"/>
          <w:kern w:val="0"/>
          <w:sz w:val="25"/>
          <w:szCs w:val="25"/>
        </w:rPr>
        <w:t>第二章</w:t>
      </w:r>
      <w:r w:rsidRPr="00016B34">
        <w:rPr>
          <w:rFonts w:ascii="inherit" w:eastAsia="宋体" w:hAnsi="inherit" w:cs="宋体"/>
          <w:kern w:val="0"/>
          <w:sz w:val="25"/>
          <w:szCs w:val="25"/>
        </w:rPr>
        <w:t xml:space="preserve"> </w:t>
      </w:r>
      <w:r w:rsidRPr="00016B34">
        <w:rPr>
          <w:rFonts w:ascii="inherit" w:eastAsia="宋体" w:hAnsi="inherit" w:cs="宋体"/>
          <w:kern w:val="0"/>
          <w:sz w:val="25"/>
          <w:szCs w:val="25"/>
        </w:rPr>
        <w:t>保护措施</w:t>
      </w:r>
    </w:p>
    <w:tbl>
      <w:tblPr>
        <w:tblW w:w="0" w:type="auto"/>
        <w:tblCellSpacing w:w="15" w:type="dxa"/>
        <w:tblCellMar>
          <w:top w:w="15" w:type="dxa"/>
          <w:left w:w="15" w:type="dxa"/>
          <w:bottom w:w="15" w:type="dxa"/>
          <w:right w:w="15" w:type="dxa"/>
        </w:tblCellMar>
        <w:tblLook w:val="04A0"/>
      </w:tblPr>
      <w:tblGrid>
        <w:gridCol w:w="855"/>
        <w:gridCol w:w="754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lastRenderedPageBreak/>
              <w:t>第五条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广播电视设施管理单位负责广播电视设施的维护和保养，保证其正常运行。</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广播电视设施管理单位应当在广播电视设施周围设立保护标志，标明保护要求。</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2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第六条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禁止危及广播电视信号发射设施的安全和损害其使用效能的下列行为：</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（一）拆除或者损坏天线、馈线、地网以及天线场地的围墙、围网及其附属设备、标志物；</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（二）在中波天线周围</w:t>
            </w:r>
            <w:r w:rsidRPr="00016B34">
              <w:rPr>
                <w:rFonts w:ascii="inherit" w:eastAsia="宋体" w:hAnsi="inherit" w:cs="宋体"/>
                <w:kern w:val="0"/>
                <w:sz w:val="24"/>
                <w:szCs w:val="24"/>
              </w:rPr>
              <w:t>250</w:t>
            </w:r>
            <w:r w:rsidRPr="00016B34">
              <w:rPr>
                <w:rFonts w:ascii="inherit" w:eastAsia="宋体" w:hAnsi="inherit" w:cs="宋体"/>
                <w:kern w:val="0"/>
                <w:sz w:val="24"/>
                <w:szCs w:val="24"/>
              </w:rPr>
              <w:t>米范围内建筑施工，或者以天线外</w:t>
            </w:r>
            <w:r w:rsidRPr="00016B34">
              <w:rPr>
                <w:rFonts w:ascii="inherit" w:eastAsia="宋体" w:hAnsi="inherit" w:cs="宋体"/>
                <w:kern w:val="0"/>
                <w:sz w:val="24"/>
                <w:szCs w:val="24"/>
              </w:rPr>
              <w:t>250</w:t>
            </w:r>
            <w:r w:rsidRPr="00016B34">
              <w:rPr>
                <w:rFonts w:ascii="inherit" w:eastAsia="宋体" w:hAnsi="inherit" w:cs="宋体"/>
                <w:kern w:val="0"/>
                <w:sz w:val="24"/>
                <w:szCs w:val="24"/>
              </w:rPr>
              <w:t>米为计算起点兴建高度超过仰角</w:t>
            </w:r>
            <w:r w:rsidRPr="00016B34">
              <w:rPr>
                <w:rFonts w:ascii="inherit" w:eastAsia="宋体" w:hAnsi="inherit" w:cs="宋体"/>
                <w:kern w:val="0"/>
                <w:sz w:val="24"/>
                <w:szCs w:val="24"/>
              </w:rPr>
              <w:t>3</w:t>
            </w:r>
            <w:r w:rsidRPr="00016B34">
              <w:rPr>
                <w:rFonts w:ascii="inherit" w:eastAsia="宋体" w:hAnsi="inherit" w:cs="宋体"/>
                <w:kern w:val="0"/>
                <w:sz w:val="24"/>
                <w:szCs w:val="24"/>
              </w:rPr>
              <w:t>度的高大建筑；</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（三）在短波天线前方</w:t>
            </w:r>
            <w:r w:rsidRPr="00016B34">
              <w:rPr>
                <w:rFonts w:ascii="inherit" w:eastAsia="宋体" w:hAnsi="inherit" w:cs="宋体"/>
                <w:kern w:val="0"/>
                <w:sz w:val="24"/>
                <w:szCs w:val="24"/>
              </w:rPr>
              <w:t>500</w:t>
            </w:r>
            <w:r w:rsidRPr="00016B34">
              <w:rPr>
                <w:rFonts w:ascii="inherit" w:eastAsia="宋体" w:hAnsi="inherit" w:cs="宋体"/>
                <w:kern w:val="0"/>
                <w:sz w:val="24"/>
                <w:szCs w:val="24"/>
              </w:rPr>
              <w:t>米范围内种植成林树木、堆放金属物品、穿越架空电力线路、建筑施工，或者以天线外</w:t>
            </w:r>
            <w:r w:rsidRPr="00016B34">
              <w:rPr>
                <w:rFonts w:ascii="inherit" w:eastAsia="宋体" w:hAnsi="inherit" w:cs="宋体"/>
                <w:kern w:val="0"/>
                <w:sz w:val="24"/>
                <w:szCs w:val="24"/>
              </w:rPr>
              <w:t>500</w:t>
            </w:r>
            <w:r w:rsidRPr="00016B34">
              <w:rPr>
                <w:rFonts w:ascii="inherit" w:eastAsia="宋体" w:hAnsi="inherit" w:cs="宋体"/>
                <w:kern w:val="0"/>
                <w:sz w:val="24"/>
                <w:szCs w:val="24"/>
              </w:rPr>
              <w:t>米为计算起点兴建高度超过仰角</w:t>
            </w:r>
            <w:r w:rsidRPr="00016B34">
              <w:rPr>
                <w:rFonts w:ascii="inherit" w:eastAsia="宋体" w:hAnsi="inherit" w:cs="宋体"/>
                <w:kern w:val="0"/>
                <w:sz w:val="24"/>
                <w:szCs w:val="24"/>
              </w:rPr>
              <w:t>3</w:t>
            </w:r>
            <w:r w:rsidRPr="00016B34">
              <w:rPr>
                <w:rFonts w:ascii="inherit" w:eastAsia="宋体" w:hAnsi="inherit" w:cs="宋体"/>
                <w:kern w:val="0"/>
                <w:sz w:val="24"/>
                <w:szCs w:val="24"/>
              </w:rPr>
              <w:t>度的高大建筑；</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（四）在功率</w:t>
            </w:r>
            <w:r w:rsidRPr="00016B34">
              <w:rPr>
                <w:rFonts w:ascii="inherit" w:eastAsia="宋体" w:hAnsi="inherit" w:cs="宋体"/>
                <w:kern w:val="0"/>
                <w:sz w:val="24"/>
                <w:szCs w:val="24"/>
              </w:rPr>
              <w:t>300</w:t>
            </w:r>
            <w:r w:rsidRPr="00016B34">
              <w:rPr>
                <w:rFonts w:ascii="inherit" w:eastAsia="宋体" w:hAnsi="inherit" w:cs="宋体"/>
                <w:kern w:val="0"/>
                <w:sz w:val="24"/>
                <w:szCs w:val="24"/>
              </w:rPr>
              <w:t>千瓦以上的定向天线前方</w:t>
            </w:r>
            <w:r w:rsidRPr="00016B34">
              <w:rPr>
                <w:rFonts w:ascii="inherit" w:eastAsia="宋体" w:hAnsi="inherit" w:cs="宋体"/>
                <w:kern w:val="0"/>
                <w:sz w:val="24"/>
                <w:szCs w:val="24"/>
              </w:rPr>
              <w:t>1000</w:t>
            </w:r>
            <w:r w:rsidRPr="00016B34">
              <w:rPr>
                <w:rFonts w:ascii="inherit" w:eastAsia="宋体" w:hAnsi="inherit" w:cs="宋体"/>
                <w:kern w:val="0"/>
                <w:sz w:val="24"/>
                <w:szCs w:val="24"/>
              </w:rPr>
              <w:t>米范围内建筑施工，或者以天线外</w:t>
            </w:r>
            <w:r w:rsidRPr="00016B34">
              <w:rPr>
                <w:rFonts w:ascii="inherit" w:eastAsia="宋体" w:hAnsi="inherit" w:cs="宋体"/>
                <w:kern w:val="0"/>
                <w:sz w:val="24"/>
                <w:szCs w:val="24"/>
              </w:rPr>
              <w:t>1000</w:t>
            </w:r>
            <w:r w:rsidRPr="00016B34">
              <w:rPr>
                <w:rFonts w:ascii="inherit" w:eastAsia="宋体" w:hAnsi="inherit" w:cs="宋体"/>
                <w:kern w:val="0"/>
                <w:sz w:val="24"/>
                <w:szCs w:val="24"/>
              </w:rPr>
              <w:t>米为计算起点兴建高度超过仰角</w:t>
            </w:r>
            <w:r w:rsidRPr="00016B34">
              <w:rPr>
                <w:rFonts w:ascii="inherit" w:eastAsia="宋体" w:hAnsi="inherit" w:cs="宋体"/>
                <w:kern w:val="0"/>
                <w:sz w:val="24"/>
                <w:szCs w:val="24"/>
              </w:rPr>
              <w:t>3</w:t>
            </w:r>
            <w:r w:rsidRPr="00016B34">
              <w:rPr>
                <w:rFonts w:ascii="inherit" w:eastAsia="宋体" w:hAnsi="inherit" w:cs="宋体"/>
                <w:kern w:val="0"/>
                <w:sz w:val="24"/>
                <w:szCs w:val="24"/>
              </w:rPr>
              <w:t>度的高大建筑；</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（五）在馈线两侧各</w:t>
            </w:r>
            <w:r w:rsidRPr="00016B34">
              <w:rPr>
                <w:rFonts w:ascii="inherit" w:eastAsia="宋体" w:hAnsi="inherit" w:cs="宋体"/>
                <w:kern w:val="0"/>
                <w:sz w:val="24"/>
                <w:szCs w:val="24"/>
              </w:rPr>
              <w:t>3</w:t>
            </w:r>
            <w:r w:rsidRPr="00016B34">
              <w:rPr>
                <w:rFonts w:ascii="inherit" w:eastAsia="宋体" w:hAnsi="inherit" w:cs="宋体"/>
                <w:kern w:val="0"/>
                <w:sz w:val="24"/>
                <w:szCs w:val="24"/>
              </w:rPr>
              <w:t>米范围内建筑施工，或者在馈线两侧各</w:t>
            </w:r>
            <w:r w:rsidRPr="00016B34">
              <w:rPr>
                <w:rFonts w:ascii="inherit" w:eastAsia="宋体" w:hAnsi="inherit" w:cs="宋体"/>
                <w:kern w:val="0"/>
                <w:sz w:val="24"/>
                <w:szCs w:val="24"/>
              </w:rPr>
              <w:t>5</w:t>
            </w:r>
            <w:r w:rsidRPr="00016B34">
              <w:rPr>
                <w:rFonts w:ascii="inherit" w:eastAsia="宋体" w:hAnsi="inherit" w:cs="宋体"/>
                <w:kern w:val="0"/>
                <w:sz w:val="24"/>
                <w:szCs w:val="24"/>
              </w:rPr>
              <w:t>米范围内种植树木、种植高杆作物；</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（六）在天线、塔桅（杆）周围</w:t>
            </w:r>
            <w:r w:rsidRPr="00016B34">
              <w:rPr>
                <w:rFonts w:ascii="inherit" w:eastAsia="宋体" w:hAnsi="inherit" w:cs="宋体"/>
                <w:kern w:val="0"/>
                <w:sz w:val="24"/>
                <w:szCs w:val="24"/>
              </w:rPr>
              <w:t>5</w:t>
            </w:r>
            <w:r w:rsidRPr="00016B34">
              <w:rPr>
                <w:rFonts w:ascii="inherit" w:eastAsia="宋体" w:hAnsi="inherit" w:cs="宋体"/>
                <w:kern w:val="0"/>
                <w:sz w:val="24"/>
                <w:szCs w:val="24"/>
              </w:rPr>
              <w:t>米或者可能危及拉锚安全的范围内挖沙、取土、钻探、打桩、倾倒腐蚀性物品。</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3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第七条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禁止危及广播电视信号专用传输设施的安全和损害其使用效能的下列行为：</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（一）在标志埋设地下传输线路两侧各</w:t>
            </w:r>
            <w:r w:rsidRPr="00016B34">
              <w:rPr>
                <w:rFonts w:ascii="inherit" w:eastAsia="宋体" w:hAnsi="inherit" w:cs="宋体"/>
                <w:kern w:val="0"/>
                <w:sz w:val="24"/>
                <w:szCs w:val="24"/>
              </w:rPr>
              <w:t>5</w:t>
            </w:r>
            <w:r w:rsidRPr="00016B34">
              <w:rPr>
                <w:rFonts w:ascii="inherit" w:eastAsia="宋体" w:hAnsi="inherit" w:cs="宋体"/>
                <w:kern w:val="0"/>
                <w:sz w:val="24"/>
                <w:szCs w:val="24"/>
              </w:rPr>
              <w:t>米和水下传输线路两侧各</w:t>
            </w:r>
            <w:r w:rsidRPr="00016B34">
              <w:rPr>
                <w:rFonts w:ascii="inherit" w:eastAsia="宋体" w:hAnsi="inherit" w:cs="宋体"/>
                <w:kern w:val="0"/>
                <w:sz w:val="24"/>
                <w:szCs w:val="24"/>
              </w:rPr>
              <w:t>50</w:t>
            </w:r>
            <w:r w:rsidRPr="00016B34">
              <w:rPr>
                <w:rFonts w:ascii="inherit" w:eastAsia="宋体" w:hAnsi="inherit" w:cs="宋体"/>
                <w:kern w:val="0"/>
                <w:sz w:val="24"/>
                <w:szCs w:val="24"/>
              </w:rPr>
              <w:t>米范围内进行铺设易燃易爆液（气）体主管道、抛锚、拖锚、挖沙等施工作业；</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（二）移动、损坏传输线路、终端杆、塔桅（杆）及其附属设备、标志物；</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（三）在标志埋设地下传输线路的地面周围</w:t>
            </w:r>
            <w:r w:rsidRPr="00016B34">
              <w:rPr>
                <w:rFonts w:ascii="inherit" w:eastAsia="宋体" w:hAnsi="inherit" w:cs="宋体"/>
                <w:kern w:val="0"/>
                <w:sz w:val="24"/>
                <w:szCs w:val="24"/>
              </w:rPr>
              <w:t>1</w:t>
            </w:r>
            <w:r w:rsidRPr="00016B34">
              <w:rPr>
                <w:rFonts w:ascii="inherit" w:eastAsia="宋体" w:hAnsi="inherit" w:cs="宋体"/>
                <w:kern w:val="0"/>
                <w:sz w:val="24"/>
                <w:szCs w:val="24"/>
              </w:rPr>
              <w:t>米范围内种植根茎可能缠绕传输线路的植物、倾倒腐蚀性物品；</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（四）树木的顶端与架空传输线路的间距小于</w:t>
            </w:r>
            <w:r w:rsidRPr="00016B34">
              <w:rPr>
                <w:rFonts w:ascii="inherit" w:eastAsia="宋体" w:hAnsi="inherit" w:cs="宋体"/>
                <w:kern w:val="0"/>
                <w:sz w:val="24"/>
                <w:szCs w:val="24"/>
              </w:rPr>
              <w:t>2</w:t>
            </w:r>
            <w:r w:rsidRPr="00016B34">
              <w:rPr>
                <w:rFonts w:ascii="inherit" w:eastAsia="宋体" w:hAnsi="inherit" w:cs="宋体"/>
                <w:kern w:val="0"/>
                <w:sz w:val="24"/>
                <w:szCs w:val="24"/>
              </w:rPr>
              <w:t>米；</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（五）在传输线路塔桅（杆）、拉线周围</w:t>
            </w:r>
            <w:r w:rsidRPr="00016B34">
              <w:rPr>
                <w:rFonts w:ascii="inherit" w:eastAsia="宋体" w:hAnsi="inherit" w:cs="宋体"/>
                <w:kern w:val="0"/>
                <w:sz w:val="24"/>
                <w:szCs w:val="24"/>
              </w:rPr>
              <w:t>1</w:t>
            </w:r>
            <w:r w:rsidRPr="00016B34">
              <w:rPr>
                <w:rFonts w:ascii="inherit" w:eastAsia="宋体" w:hAnsi="inherit" w:cs="宋体"/>
                <w:kern w:val="0"/>
                <w:sz w:val="24"/>
                <w:szCs w:val="24"/>
              </w:rPr>
              <w:t>米范围内挖沙、取土，或者在其周围</w:t>
            </w:r>
            <w:r w:rsidRPr="00016B34">
              <w:rPr>
                <w:rFonts w:ascii="inherit" w:eastAsia="宋体" w:hAnsi="inherit" w:cs="宋体"/>
                <w:kern w:val="0"/>
                <w:sz w:val="24"/>
                <w:szCs w:val="24"/>
              </w:rPr>
              <w:t>5</w:t>
            </w:r>
            <w:r w:rsidRPr="00016B34">
              <w:rPr>
                <w:rFonts w:ascii="inherit" w:eastAsia="宋体" w:hAnsi="inherit" w:cs="宋体"/>
                <w:kern w:val="0"/>
                <w:sz w:val="24"/>
                <w:szCs w:val="24"/>
              </w:rPr>
              <w:t>米范围内倾倒腐蚀性物品、堆放易燃易爆物品；</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（六）在传输线路塔桅（杆）、拉线上拴系牲畜、悬挂物品、攀附</w:t>
            </w:r>
            <w:r w:rsidRPr="00016B34">
              <w:rPr>
                <w:rFonts w:ascii="inherit" w:eastAsia="宋体" w:hAnsi="inherit" w:cs="宋体"/>
                <w:kern w:val="0"/>
                <w:sz w:val="24"/>
                <w:szCs w:val="24"/>
              </w:rPr>
              <w:lastRenderedPageBreak/>
              <w:t>农作物。</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lastRenderedPageBreak/>
        <w:pict>
          <v:rect id="_x0000_i103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第八条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禁止危及广播电视信号监测设施的安全和损害其使用效能的下列行为：</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（一）移动、损坏监测接收天线、塔桅（杆）及其附属设备、标志物；</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（二）在监测台、站周围违反国家标准架设架空电力线路，兴建电气化铁路、公路等产生电磁辐射的设施或者设置金属构件；</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（三）在监测台、站测向场强室周围</w:t>
            </w:r>
            <w:r w:rsidRPr="00016B34">
              <w:rPr>
                <w:rFonts w:ascii="inherit" w:eastAsia="宋体" w:hAnsi="inherit" w:cs="宋体"/>
                <w:kern w:val="0"/>
                <w:sz w:val="24"/>
                <w:szCs w:val="24"/>
              </w:rPr>
              <w:t>150</w:t>
            </w:r>
            <w:r w:rsidRPr="00016B34">
              <w:rPr>
                <w:rFonts w:ascii="inherit" w:eastAsia="宋体" w:hAnsi="inherit" w:cs="宋体"/>
                <w:kern w:val="0"/>
                <w:sz w:val="24"/>
                <w:szCs w:val="24"/>
              </w:rPr>
              <w:t>米范围内种植树木、高杆作物、进行对土地平坦有影响的挖掘、施工；</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（四）在监测天线周围</w:t>
            </w:r>
            <w:r w:rsidRPr="00016B34">
              <w:rPr>
                <w:rFonts w:ascii="inherit" w:eastAsia="宋体" w:hAnsi="inherit" w:cs="宋体"/>
                <w:kern w:val="0"/>
                <w:sz w:val="24"/>
                <w:szCs w:val="24"/>
              </w:rPr>
              <w:t>1000</w:t>
            </w:r>
            <w:r w:rsidRPr="00016B34">
              <w:rPr>
                <w:rFonts w:ascii="inherit" w:eastAsia="宋体" w:hAnsi="inherit" w:cs="宋体"/>
                <w:kern w:val="0"/>
                <w:sz w:val="24"/>
                <w:szCs w:val="24"/>
              </w:rPr>
              <w:t>米范围内建筑施工，或者以天线外</w:t>
            </w:r>
            <w:r w:rsidRPr="00016B34">
              <w:rPr>
                <w:rFonts w:ascii="inherit" w:eastAsia="宋体" w:hAnsi="inherit" w:cs="宋体"/>
                <w:kern w:val="0"/>
                <w:sz w:val="24"/>
                <w:szCs w:val="24"/>
              </w:rPr>
              <w:t>1000</w:t>
            </w:r>
            <w:r w:rsidRPr="00016B34">
              <w:rPr>
                <w:rFonts w:ascii="inherit" w:eastAsia="宋体" w:hAnsi="inherit" w:cs="宋体"/>
                <w:kern w:val="0"/>
                <w:sz w:val="24"/>
                <w:szCs w:val="24"/>
              </w:rPr>
              <w:t>米为计算起点修建高度超过仰角</w:t>
            </w:r>
            <w:r w:rsidRPr="00016B34">
              <w:rPr>
                <w:rFonts w:ascii="inherit" w:eastAsia="宋体" w:hAnsi="inherit" w:cs="宋体"/>
                <w:kern w:val="0"/>
                <w:sz w:val="24"/>
                <w:szCs w:val="24"/>
              </w:rPr>
              <w:t>3</w:t>
            </w:r>
            <w:r w:rsidRPr="00016B34">
              <w:rPr>
                <w:rFonts w:ascii="inherit" w:eastAsia="宋体" w:hAnsi="inherit" w:cs="宋体"/>
                <w:kern w:val="0"/>
                <w:sz w:val="24"/>
                <w:szCs w:val="24"/>
              </w:rPr>
              <w:t>度的建筑物、构筑物或者堆放超高的物品。</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3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第九条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禁止危及广播电视设施安全和损害其使用效能的下列行为：</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（一）在广播电视设施周围</w:t>
            </w:r>
            <w:r w:rsidRPr="00016B34">
              <w:rPr>
                <w:rFonts w:ascii="inherit" w:eastAsia="宋体" w:hAnsi="inherit" w:cs="宋体"/>
                <w:kern w:val="0"/>
                <w:sz w:val="24"/>
                <w:szCs w:val="24"/>
              </w:rPr>
              <w:t>500</w:t>
            </w:r>
            <w:r w:rsidRPr="00016B34">
              <w:rPr>
                <w:rFonts w:ascii="inherit" w:eastAsia="宋体" w:hAnsi="inherit" w:cs="宋体"/>
                <w:kern w:val="0"/>
                <w:sz w:val="24"/>
                <w:szCs w:val="24"/>
              </w:rPr>
              <w:t>米范围内进行爆破作业；</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（二）在天线、馈线、传输线路及其塔桅（杆）、拉线周围</w:t>
            </w:r>
            <w:r w:rsidRPr="00016B34">
              <w:rPr>
                <w:rFonts w:ascii="inherit" w:eastAsia="宋体" w:hAnsi="inherit" w:cs="宋体"/>
                <w:kern w:val="0"/>
                <w:sz w:val="24"/>
                <w:szCs w:val="24"/>
              </w:rPr>
              <w:t>500</w:t>
            </w:r>
            <w:r w:rsidRPr="00016B34">
              <w:rPr>
                <w:rFonts w:ascii="inherit" w:eastAsia="宋体" w:hAnsi="inherit" w:cs="宋体"/>
                <w:kern w:val="0"/>
                <w:sz w:val="24"/>
                <w:szCs w:val="24"/>
              </w:rPr>
              <w:t>米范围内进行烧荒；</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（三）在卫星天线前方</w:t>
            </w:r>
            <w:r w:rsidRPr="00016B34">
              <w:rPr>
                <w:rFonts w:ascii="inherit" w:eastAsia="宋体" w:hAnsi="inherit" w:cs="宋体"/>
                <w:kern w:val="0"/>
                <w:sz w:val="24"/>
                <w:szCs w:val="24"/>
              </w:rPr>
              <w:t>50</w:t>
            </w:r>
            <w:r w:rsidRPr="00016B34">
              <w:rPr>
                <w:rFonts w:ascii="inherit" w:eastAsia="宋体" w:hAnsi="inherit" w:cs="宋体"/>
                <w:kern w:val="0"/>
                <w:sz w:val="24"/>
                <w:szCs w:val="24"/>
              </w:rPr>
              <w:t>米范围内建筑施工，或者以天线前方</w:t>
            </w:r>
            <w:r w:rsidRPr="00016B34">
              <w:rPr>
                <w:rFonts w:ascii="inherit" w:eastAsia="宋体" w:hAnsi="inherit" w:cs="宋体"/>
                <w:kern w:val="0"/>
                <w:sz w:val="24"/>
                <w:szCs w:val="24"/>
              </w:rPr>
              <w:t>50</w:t>
            </w:r>
            <w:r w:rsidRPr="00016B34">
              <w:rPr>
                <w:rFonts w:ascii="inherit" w:eastAsia="宋体" w:hAnsi="inherit" w:cs="宋体"/>
                <w:kern w:val="0"/>
                <w:sz w:val="24"/>
                <w:szCs w:val="24"/>
              </w:rPr>
              <w:t>米为计算起点修建高度超过仰角</w:t>
            </w:r>
            <w:r w:rsidRPr="00016B34">
              <w:rPr>
                <w:rFonts w:ascii="inherit" w:eastAsia="宋体" w:hAnsi="inherit" w:cs="宋体"/>
                <w:kern w:val="0"/>
                <w:sz w:val="24"/>
                <w:szCs w:val="24"/>
              </w:rPr>
              <w:t>5</w:t>
            </w:r>
            <w:r w:rsidRPr="00016B34">
              <w:rPr>
                <w:rFonts w:ascii="inherit" w:eastAsia="宋体" w:hAnsi="inherit" w:cs="宋体"/>
                <w:kern w:val="0"/>
                <w:sz w:val="24"/>
                <w:szCs w:val="24"/>
              </w:rPr>
              <w:t>度的建筑物、构筑物或者堆放超高的物品；</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（四）在发射、监测台、站周围</w:t>
            </w:r>
            <w:r w:rsidRPr="00016B34">
              <w:rPr>
                <w:rFonts w:ascii="inherit" w:eastAsia="宋体" w:hAnsi="inherit" w:cs="宋体"/>
                <w:kern w:val="0"/>
                <w:sz w:val="24"/>
                <w:szCs w:val="24"/>
              </w:rPr>
              <w:t>1500</w:t>
            </w:r>
            <w:r w:rsidRPr="00016B34">
              <w:rPr>
                <w:rFonts w:ascii="inherit" w:eastAsia="宋体" w:hAnsi="inherit" w:cs="宋体"/>
                <w:kern w:val="0"/>
                <w:sz w:val="24"/>
                <w:szCs w:val="24"/>
              </w:rPr>
              <w:t>米范围内兴建有严重粉尘污染、严重腐蚀性化学气体溢出或者产生放射性物质的设施；</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（五）在发射、监测台、站周围</w:t>
            </w:r>
            <w:r w:rsidRPr="00016B34">
              <w:rPr>
                <w:rFonts w:ascii="inherit" w:eastAsia="宋体" w:hAnsi="inherit" w:cs="宋体"/>
                <w:kern w:val="0"/>
                <w:sz w:val="24"/>
                <w:szCs w:val="24"/>
              </w:rPr>
              <w:t>500</w:t>
            </w:r>
            <w:r w:rsidRPr="00016B34">
              <w:rPr>
                <w:rFonts w:ascii="inherit" w:eastAsia="宋体" w:hAnsi="inherit" w:cs="宋体"/>
                <w:kern w:val="0"/>
                <w:sz w:val="24"/>
                <w:szCs w:val="24"/>
              </w:rPr>
              <w:t>米范围内兴建油库、加油站、液化气站、煤气站等易燃易爆设施。</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3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65"/>
        <w:gridCol w:w="30"/>
        <w:gridCol w:w="730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第十条</w:t>
            </w:r>
            <w:r w:rsidRPr="00016B34">
              <w:rPr>
                <w:rFonts w:ascii="inherit" w:eastAsia="宋体" w:hAnsi="inherit" w:cs="宋体"/>
                <w:kern w:val="0"/>
                <w:sz w:val="24"/>
                <w:szCs w:val="24"/>
              </w:rPr>
              <w:t> </w:t>
            </w:r>
          </w:p>
        </w:tc>
        <w:tc>
          <w:tcPr>
            <w:tcW w:w="0" w:type="auto"/>
            <w:gridSpan w:val="2"/>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新建、扩建广播电视设施，应当遵守城乡建设总体规划，按照国家有关规定选址，避开各种干扰源。</w:t>
            </w:r>
          </w:p>
        </w:tc>
      </w:tr>
      <w:tr w:rsidR="00016B34" w:rsidRPr="00016B34" w:rsidTr="00016B34">
        <w:trPr>
          <w:tblCellSpacing w:w="15" w:type="dxa"/>
        </w:trPr>
        <w:tc>
          <w:tcPr>
            <w:tcW w:w="0" w:type="auto"/>
            <w:gridSpan w:val="2"/>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第十一条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广播电视信号发射设施的建设，应当符合国家有关电磁波防护和卫生标准；在已有发射设施的场强区内，兴建机关、工厂、学校、商店、居民住宅等设施的，除应当遵守本条例有关规定外，还应当符合国家有关电磁波防护和卫生标准。</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3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lastRenderedPageBreak/>
              <w:t>第十二条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在标志埋设广播电视传输线路两侧</w:t>
            </w:r>
            <w:r w:rsidRPr="00016B34">
              <w:rPr>
                <w:rFonts w:ascii="inherit" w:eastAsia="宋体" w:hAnsi="inherit" w:cs="宋体"/>
                <w:kern w:val="0"/>
                <w:sz w:val="24"/>
                <w:szCs w:val="24"/>
              </w:rPr>
              <w:t>2</w:t>
            </w:r>
            <w:r w:rsidRPr="00016B34">
              <w:rPr>
                <w:rFonts w:ascii="inherit" w:eastAsia="宋体" w:hAnsi="inherit" w:cs="宋体"/>
                <w:kern w:val="0"/>
                <w:sz w:val="24"/>
                <w:szCs w:val="24"/>
              </w:rPr>
              <w:t>米范围内堆放笨重物品、种植树木及平整土地的，应当事先征得广播电视设施管理单位的同意，并采取有效防范措施后，方可进行。</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3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第十三条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在天线、馈线周围</w:t>
            </w:r>
            <w:r w:rsidRPr="00016B34">
              <w:rPr>
                <w:rFonts w:ascii="inherit" w:eastAsia="宋体" w:hAnsi="inherit" w:cs="宋体"/>
                <w:kern w:val="0"/>
                <w:sz w:val="24"/>
                <w:szCs w:val="24"/>
              </w:rPr>
              <w:t>500</w:t>
            </w:r>
            <w:r w:rsidRPr="00016B34">
              <w:rPr>
                <w:rFonts w:ascii="inherit" w:eastAsia="宋体" w:hAnsi="inherit" w:cs="宋体"/>
                <w:kern w:val="0"/>
                <w:sz w:val="24"/>
                <w:szCs w:val="24"/>
              </w:rPr>
              <w:t>米范围外进行烧荒等活动，可能危及广播电视设施安全的，应当事先通知广播电视设施管理单位，并采取有效防范措施后，方可进行。</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3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第十四条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在天线、馈线周围种植树木或者农作物的，应当确保巡视、维修车辆的通行；巡视、维修车辆通行，对树木或者农作物造成损失的，由广播电视设施管理单位按照国家有关规定给予补偿。</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对高度超越架空传输线路保护间距要求的树木，广播电视设施管理单位有权剪除其超越部分。</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3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第十五条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在广播电视传输线路上接挂收听、收视设备，调整、安装有线广播电视的光分配器、分支放大器等设备，或者在有线广播电视设备上插接分支分配器、其他线路的，应当经广播电视设施管理单位同意，并由专业人员安装。</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3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第十六条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在天线场地敷设电力、通讯线路或者在架空传输线路上附挂电力、通讯线路的，应当事先征得广播电视设施管理单位同意，并在专业人员的指导下进行施工。</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3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第十七条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广播电视设施管理单位的专用供电、供水、通信等，有关部门或者单位应当予以保障。</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广播电视设施管理单位应当按照有关广播电视行政管理部门的要求，对重要的广播电视设施配备备用电源、水源等设施。</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4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第十八条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进行工程建设，应当尽量避开广播电视设施；重大工程项目确实无法避开而需要搬迁广播电视设施的，城市规划行政主管部门在审批前，应当征得有关广播电视行政管理部门同意。</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迁建工作应当坚持先建设后拆除的原则。迁建所需费用由造成广播电视设施迁建的单位承担。迁建新址的技术参数应当按照国家有关</w:t>
            </w:r>
            <w:r w:rsidRPr="00016B34">
              <w:rPr>
                <w:rFonts w:ascii="inherit" w:eastAsia="宋体" w:hAnsi="inherit" w:cs="宋体"/>
                <w:kern w:val="0"/>
                <w:sz w:val="24"/>
                <w:szCs w:val="24"/>
              </w:rPr>
              <w:lastRenderedPageBreak/>
              <w:t>规定报批。</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lastRenderedPageBreak/>
        <w:pict>
          <v:rect id="_x0000_i104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第十九条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确需在已有广播电视信号空中专用传输通路内兴建建设工程的，城市规划行政主管部门在审批前，应当征得有关广播电视行政管理部门同意。</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因建设工程阻挡空中专用传输通路，需要建立广播电视空中信号中继站的，建设单位应当承担所需费用并给予相应的经济补偿。</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42" style="width:0;height:.75pt" o:hralign="center" o:hrstd="t" o:hrnoshade="t" o:hr="t" fillcolor="#ddd" stroked="f"/>
        </w:pict>
      </w:r>
    </w:p>
    <w:p w:rsidR="00016B34" w:rsidRPr="00016B34" w:rsidRDefault="00016B34" w:rsidP="00016B34">
      <w:pPr>
        <w:widowControl/>
        <w:shd w:val="clear" w:color="auto" w:fill="FFFFFF"/>
        <w:wordWrap w:val="0"/>
        <w:spacing w:after="225"/>
        <w:jc w:val="center"/>
        <w:rPr>
          <w:rFonts w:ascii="inherit" w:eastAsia="宋体" w:hAnsi="inherit" w:cs="宋体"/>
          <w:kern w:val="0"/>
          <w:sz w:val="25"/>
          <w:szCs w:val="25"/>
        </w:rPr>
      </w:pPr>
      <w:r w:rsidRPr="00016B34">
        <w:rPr>
          <w:rFonts w:ascii="inherit" w:eastAsia="宋体" w:hAnsi="inherit" w:cs="宋体"/>
          <w:kern w:val="0"/>
          <w:sz w:val="25"/>
          <w:szCs w:val="25"/>
        </w:rPr>
        <w:t>第三章</w:t>
      </w:r>
      <w:r w:rsidRPr="00016B34">
        <w:rPr>
          <w:rFonts w:ascii="inherit" w:eastAsia="宋体" w:hAnsi="inherit" w:cs="宋体"/>
          <w:kern w:val="0"/>
          <w:sz w:val="25"/>
          <w:szCs w:val="25"/>
        </w:rPr>
        <w:t xml:space="preserve"> </w:t>
      </w:r>
      <w:r w:rsidRPr="00016B34">
        <w:rPr>
          <w:rFonts w:ascii="inherit" w:eastAsia="宋体" w:hAnsi="inherit" w:cs="宋体"/>
          <w:kern w:val="0"/>
          <w:sz w:val="25"/>
          <w:szCs w:val="25"/>
        </w:rPr>
        <w:t>罚则</w:t>
      </w:r>
    </w:p>
    <w:tbl>
      <w:tblPr>
        <w:tblW w:w="0" w:type="auto"/>
        <w:tblCellSpacing w:w="15" w:type="dxa"/>
        <w:tblCellMar>
          <w:top w:w="15" w:type="dxa"/>
          <w:left w:w="15" w:type="dxa"/>
          <w:bottom w:w="15" w:type="dxa"/>
          <w:right w:w="15" w:type="dxa"/>
        </w:tblCellMar>
        <w:tblLook w:val="04A0"/>
      </w:tblPr>
      <w:tblGrid>
        <w:gridCol w:w="1305"/>
        <w:gridCol w:w="30"/>
        <w:gridCol w:w="706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第二十条</w:t>
            </w:r>
            <w:r w:rsidRPr="00016B34">
              <w:rPr>
                <w:rFonts w:ascii="inherit" w:eastAsia="宋体" w:hAnsi="inherit" w:cs="宋体"/>
                <w:kern w:val="0"/>
                <w:sz w:val="24"/>
                <w:szCs w:val="24"/>
              </w:rPr>
              <w:t> </w:t>
            </w:r>
          </w:p>
        </w:tc>
        <w:tc>
          <w:tcPr>
            <w:tcW w:w="0" w:type="auto"/>
            <w:gridSpan w:val="2"/>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w:t>
            </w:r>
            <w:r w:rsidRPr="00016B34">
              <w:rPr>
                <w:rFonts w:ascii="inherit" w:eastAsia="宋体" w:hAnsi="inherit" w:cs="宋体"/>
                <w:kern w:val="0"/>
                <w:sz w:val="24"/>
                <w:szCs w:val="24"/>
              </w:rPr>
              <w:t>1000</w:t>
            </w:r>
            <w:r w:rsidRPr="00016B34">
              <w:rPr>
                <w:rFonts w:ascii="inherit" w:eastAsia="宋体" w:hAnsi="inherit" w:cs="宋体"/>
                <w:kern w:val="0"/>
                <w:sz w:val="24"/>
                <w:szCs w:val="24"/>
              </w:rPr>
              <w:t>元以上</w:t>
            </w:r>
            <w:r w:rsidRPr="00016B34">
              <w:rPr>
                <w:rFonts w:ascii="inherit" w:eastAsia="宋体" w:hAnsi="inherit" w:cs="宋体"/>
                <w:kern w:val="0"/>
                <w:sz w:val="24"/>
                <w:szCs w:val="24"/>
              </w:rPr>
              <w:t>1</w:t>
            </w:r>
            <w:r w:rsidRPr="00016B34">
              <w:rPr>
                <w:rFonts w:ascii="inherit" w:eastAsia="宋体" w:hAnsi="inherit" w:cs="宋体"/>
                <w:kern w:val="0"/>
                <w:sz w:val="24"/>
                <w:szCs w:val="24"/>
              </w:rPr>
              <w:t>万元以下的罚款，对单位处</w:t>
            </w:r>
            <w:r w:rsidRPr="00016B34">
              <w:rPr>
                <w:rFonts w:ascii="inherit" w:eastAsia="宋体" w:hAnsi="inherit" w:cs="宋体"/>
                <w:kern w:val="0"/>
                <w:sz w:val="24"/>
                <w:szCs w:val="24"/>
              </w:rPr>
              <w:t>2</w:t>
            </w:r>
            <w:r w:rsidRPr="00016B34">
              <w:rPr>
                <w:rFonts w:ascii="inherit" w:eastAsia="宋体" w:hAnsi="inherit" w:cs="宋体"/>
                <w:kern w:val="0"/>
                <w:sz w:val="24"/>
                <w:szCs w:val="24"/>
              </w:rPr>
              <w:t>万元以上</w:t>
            </w:r>
            <w:r w:rsidRPr="00016B34">
              <w:rPr>
                <w:rFonts w:ascii="inherit" w:eastAsia="宋体" w:hAnsi="inherit" w:cs="宋体"/>
                <w:kern w:val="0"/>
                <w:sz w:val="24"/>
                <w:szCs w:val="24"/>
              </w:rPr>
              <w:t>10</w:t>
            </w:r>
            <w:r w:rsidRPr="00016B34">
              <w:rPr>
                <w:rFonts w:ascii="inherit" w:eastAsia="宋体" w:hAnsi="inherit" w:cs="宋体"/>
                <w:kern w:val="0"/>
                <w:sz w:val="24"/>
                <w:szCs w:val="24"/>
              </w:rPr>
              <w:t>万元以下的罚款；对其直接负责的主管人员及其他直接责任人员依法给予行政处分；违反治安管理规定的，由公安机关依法给予治安管理处罚；构成犯罪的，依法追究刑事责任。</w:t>
            </w:r>
          </w:p>
        </w:tc>
      </w:tr>
      <w:tr w:rsidR="00016B34" w:rsidRPr="00016B34" w:rsidTr="00016B34">
        <w:trPr>
          <w:tblCellSpacing w:w="15" w:type="dxa"/>
        </w:trPr>
        <w:tc>
          <w:tcPr>
            <w:tcW w:w="0" w:type="auto"/>
            <w:gridSpan w:val="2"/>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第二十一条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违反本条例规定，损坏广播电视设施的，由县级以上人民政府广播电视行政管理部门或者其授权的广播电视设施管理单位责令改正，对个人处</w:t>
            </w:r>
            <w:r w:rsidRPr="00016B34">
              <w:rPr>
                <w:rFonts w:ascii="inherit" w:eastAsia="宋体" w:hAnsi="inherit" w:cs="宋体"/>
                <w:kern w:val="0"/>
                <w:sz w:val="24"/>
                <w:szCs w:val="24"/>
              </w:rPr>
              <w:t>1000</w:t>
            </w:r>
            <w:r w:rsidRPr="00016B34">
              <w:rPr>
                <w:rFonts w:ascii="inherit" w:eastAsia="宋体" w:hAnsi="inherit" w:cs="宋体"/>
                <w:kern w:val="0"/>
                <w:sz w:val="24"/>
                <w:szCs w:val="24"/>
              </w:rPr>
              <w:t>元以上</w:t>
            </w:r>
            <w:r w:rsidRPr="00016B34">
              <w:rPr>
                <w:rFonts w:ascii="inherit" w:eastAsia="宋体" w:hAnsi="inherit" w:cs="宋体"/>
                <w:kern w:val="0"/>
                <w:sz w:val="24"/>
                <w:szCs w:val="24"/>
              </w:rPr>
              <w:t>1</w:t>
            </w:r>
            <w:r w:rsidRPr="00016B34">
              <w:rPr>
                <w:rFonts w:ascii="inherit" w:eastAsia="宋体" w:hAnsi="inherit" w:cs="宋体"/>
                <w:kern w:val="0"/>
                <w:sz w:val="24"/>
                <w:szCs w:val="24"/>
              </w:rPr>
              <w:t>万元以下的罚款，对单位处</w:t>
            </w:r>
            <w:r w:rsidRPr="00016B34">
              <w:rPr>
                <w:rFonts w:ascii="inherit" w:eastAsia="宋体" w:hAnsi="inherit" w:cs="宋体"/>
                <w:kern w:val="0"/>
                <w:sz w:val="24"/>
                <w:szCs w:val="24"/>
              </w:rPr>
              <w:t>2</w:t>
            </w:r>
            <w:r w:rsidRPr="00016B34">
              <w:rPr>
                <w:rFonts w:ascii="inherit" w:eastAsia="宋体" w:hAnsi="inherit" w:cs="宋体"/>
                <w:kern w:val="0"/>
                <w:sz w:val="24"/>
                <w:szCs w:val="24"/>
              </w:rPr>
              <w:t>万元以上</w:t>
            </w:r>
            <w:r w:rsidRPr="00016B34">
              <w:rPr>
                <w:rFonts w:ascii="inherit" w:eastAsia="宋体" w:hAnsi="inherit" w:cs="宋体"/>
                <w:kern w:val="0"/>
                <w:sz w:val="24"/>
                <w:szCs w:val="24"/>
              </w:rPr>
              <w:t>10</w:t>
            </w:r>
            <w:r w:rsidRPr="00016B34">
              <w:rPr>
                <w:rFonts w:ascii="inherit" w:eastAsia="宋体" w:hAnsi="inherit" w:cs="宋体"/>
                <w:kern w:val="0"/>
                <w:sz w:val="24"/>
                <w:szCs w:val="24"/>
              </w:rPr>
              <w:t>万元以下的罚款；对其直接负责的主管人员及其他直接责任人员依法给予行政处分；违反治安管理规定的，由公安机关依法给予治安管理处罚；构成犯罪的，依法追究刑事责任。</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4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第二十二条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违反本条例规定，在广播电视设施保护范围内有下列行为之一的，由县级以上人民政府广播电视行政管理部门或者其授权的广播电视设施管理单位责令改正，给予警告，对个人可处以</w:t>
            </w:r>
            <w:r w:rsidRPr="00016B34">
              <w:rPr>
                <w:rFonts w:ascii="inherit" w:eastAsia="宋体" w:hAnsi="inherit" w:cs="宋体"/>
                <w:kern w:val="0"/>
                <w:sz w:val="24"/>
                <w:szCs w:val="24"/>
              </w:rPr>
              <w:t>2000</w:t>
            </w:r>
            <w:r w:rsidRPr="00016B34">
              <w:rPr>
                <w:rFonts w:ascii="inherit" w:eastAsia="宋体" w:hAnsi="inherit" w:cs="宋体"/>
                <w:kern w:val="0"/>
                <w:sz w:val="24"/>
                <w:szCs w:val="24"/>
              </w:rPr>
              <w:t>元以下的罚款，对单位可处以</w:t>
            </w:r>
            <w:r w:rsidRPr="00016B34">
              <w:rPr>
                <w:rFonts w:ascii="inherit" w:eastAsia="宋体" w:hAnsi="inherit" w:cs="宋体"/>
                <w:kern w:val="0"/>
                <w:sz w:val="24"/>
                <w:szCs w:val="24"/>
              </w:rPr>
              <w:t>2</w:t>
            </w:r>
            <w:r w:rsidRPr="00016B34">
              <w:rPr>
                <w:rFonts w:ascii="inherit" w:eastAsia="宋体" w:hAnsi="inherit" w:cs="宋体"/>
                <w:kern w:val="0"/>
                <w:sz w:val="24"/>
                <w:szCs w:val="24"/>
              </w:rPr>
              <w:t>万元以下的罚款：</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（一）种植树木、农作物的；</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（二）堆放金属物品、易燃易爆物品或者设置金属构件、倾倒腐蚀性物品的；</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（三）钻探、打桩、抛锚、拖锚、挖沙、取土的；</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（四）拴系牲畜、悬挂物品、攀附农作物的。</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4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lastRenderedPageBreak/>
              <w:t>第二十三条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hint="eastAsia"/>
                <w:kern w:val="0"/>
                <w:sz w:val="24"/>
                <w:szCs w:val="24"/>
              </w:rPr>
            </w:pPr>
            <w:r w:rsidRPr="00016B34">
              <w:rPr>
                <w:rFonts w:ascii="inherit" w:eastAsia="宋体" w:hAnsi="inherit" w:cs="宋体"/>
                <w:kern w:val="0"/>
                <w:sz w:val="24"/>
                <w:szCs w:val="24"/>
              </w:rPr>
              <w:t xml:space="preserve">　　违反本条例规定，未经同意，擅自实施下列行为之一的，由县级以上人民政府广播电视行政管理部门或者其授权的广播电视设施管理单位责令改正，对个人可处以</w:t>
            </w:r>
            <w:r w:rsidRPr="00016B34">
              <w:rPr>
                <w:rFonts w:ascii="inherit" w:eastAsia="宋体" w:hAnsi="inherit" w:cs="宋体"/>
                <w:kern w:val="0"/>
                <w:sz w:val="24"/>
                <w:szCs w:val="24"/>
              </w:rPr>
              <w:t>2000</w:t>
            </w:r>
            <w:r w:rsidRPr="00016B34">
              <w:rPr>
                <w:rFonts w:ascii="inherit" w:eastAsia="宋体" w:hAnsi="inherit" w:cs="宋体"/>
                <w:kern w:val="0"/>
                <w:sz w:val="24"/>
                <w:szCs w:val="24"/>
              </w:rPr>
              <w:t>元以下的罚款，对单位可处以</w:t>
            </w:r>
            <w:r w:rsidRPr="00016B34">
              <w:rPr>
                <w:rFonts w:ascii="inherit" w:eastAsia="宋体" w:hAnsi="inherit" w:cs="宋体"/>
                <w:kern w:val="0"/>
                <w:sz w:val="24"/>
                <w:szCs w:val="24"/>
              </w:rPr>
              <w:t>1</w:t>
            </w:r>
            <w:r w:rsidRPr="00016B34">
              <w:rPr>
                <w:rFonts w:ascii="inherit" w:eastAsia="宋体" w:hAnsi="inherit" w:cs="宋体"/>
                <w:kern w:val="0"/>
                <w:sz w:val="24"/>
                <w:szCs w:val="24"/>
              </w:rPr>
              <w:t>万元以下的罚款：</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（一）在广播电视传输线路保护范围内堆放笨重物品、种植树木、平整土地的；</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（二）在天线、馈线保护范围外进行烧荒等的；</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（三）在广播电视传输线路上接挂、调整、安装、插接收听、收视设备的；</w:t>
            </w:r>
          </w:p>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（四）在天线场地敷设或者在架空传输线路上附挂电力、通信线路的。</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4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第二十四条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违反本条例规定，未经城市规划主管部门批准和广播电视行政管理部门同意，擅自进行建设工程的，由城市规划主管部门依照有关法律、法规的规定给予处罚。</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4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第二十五条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广播电视行政管理部门、城市规划主管部门、公安机关的工作人员违反本条例规定，滥用职权、玩忽职守、徇私舞弊，造成广播电视设施严重损害或者严重影响其使用效能，构成犯罪的，依法追究刑事责任；尚不构成犯罪的，依法给予行政处分。</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4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第二十六条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损坏广播电视设施无法恢复原状的，当事人应当依法承担赔偿责任。</w:t>
            </w:r>
          </w:p>
        </w:tc>
      </w:tr>
    </w:tbl>
    <w:p w:rsidR="00016B34" w:rsidRPr="00016B34" w:rsidRDefault="00016B34" w:rsidP="00016B34">
      <w:pPr>
        <w:widowControl/>
        <w:shd w:val="clear" w:color="auto" w:fill="FFFFFF"/>
        <w:wordWrap w:val="0"/>
        <w:spacing w:before="105" w:after="105"/>
        <w:jc w:val="left"/>
        <w:rPr>
          <w:rFonts w:ascii="inherit" w:eastAsia="宋体" w:hAnsi="inherit" w:cs="宋体"/>
          <w:kern w:val="0"/>
          <w:szCs w:val="21"/>
        </w:rPr>
      </w:pPr>
      <w:r w:rsidRPr="00016B34">
        <w:rPr>
          <w:rFonts w:ascii="inherit" w:eastAsia="宋体" w:hAnsi="inherit" w:cs="宋体"/>
          <w:kern w:val="0"/>
          <w:szCs w:val="21"/>
        </w:rPr>
        <w:pict>
          <v:rect id="_x0000_i1048" style="width:0;height:.75pt" o:hralign="center" o:hrstd="t" o:hrnoshade="t" o:hr="t" fillcolor="#ddd" stroked="f"/>
        </w:pict>
      </w:r>
    </w:p>
    <w:p w:rsidR="00016B34" w:rsidRPr="00016B34" w:rsidRDefault="00016B34" w:rsidP="00016B34">
      <w:pPr>
        <w:widowControl/>
        <w:shd w:val="clear" w:color="auto" w:fill="FFFFFF"/>
        <w:wordWrap w:val="0"/>
        <w:spacing w:after="225"/>
        <w:jc w:val="center"/>
        <w:rPr>
          <w:rFonts w:ascii="inherit" w:eastAsia="宋体" w:hAnsi="inherit" w:cs="宋体"/>
          <w:kern w:val="0"/>
          <w:sz w:val="25"/>
          <w:szCs w:val="25"/>
        </w:rPr>
      </w:pPr>
      <w:r w:rsidRPr="00016B34">
        <w:rPr>
          <w:rFonts w:ascii="inherit" w:eastAsia="宋体" w:hAnsi="inherit" w:cs="宋体"/>
          <w:kern w:val="0"/>
          <w:sz w:val="25"/>
          <w:szCs w:val="25"/>
        </w:rPr>
        <w:t>第四章</w:t>
      </w:r>
      <w:r w:rsidRPr="00016B34">
        <w:rPr>
          <w:rFonts w:ascii="inherit" w:eastAsia="宋体" w:hAnsi="inherit" w:cs="宋体"/>
          <w:kern w:val="0"/>
          <w:sz w:val="25"/>
          <w:szCs w:val="25"/>
        </w:rPr>
        <w:t xml:space="preserve"> </w:t>
      </w:r>
      <w:r w:rsidRPr="00016B34">
        <w:rPr>
          <w:rFonts w:ascii="inherit" w:eastAsia="宋体" w:hAnsi="inherit" w:cs="宋体"/>
          <w:kern w:val="0"/>
          <w:sz w:val="25"/>
          <w:szCs w:val="25"/>
        </w:rPr>
        <w:t>附则</w:t>
      </w:r>
    </w:p>
    <w:tbl>
      <w:tblPr>
        <w:tblW w:w="0" w:type="auto"/>
        <w:tblCellSpacing w:w="15" w:type="dxa"/>
        <w:tblCellMar>
          <w:top w:w="15" w:type="dxa"/>
          <w:left w:w="15" w:type="dxa"/>
          <w:bottom w:w="15" w:type="dxa"/>
          <w:right w:w="15" w:type="dxa"/>
        </w:tblCellMar>
        <w:tblLook w:val="04A0"/>
      </w:tblPr>
      <w:tblGrid>
        <w:gridCol w:w="1335"/>
        <w:gridCol w:w="7061"/>
      </w:tblGrid>
      <w:tr w:rsidR="00016B34" w:rsidRPr="00016B34" w:rsidTr="00016B34">
        <w:trPr>
          <w:tblCellSpacing w:w="15" w:type="dxa"/>
        </w:trPr>
        <w:tc>
          <w:tcPr>
            <w:tcW w:w="0" w:type="auto"/>
            <w:noWrap/>
            <w:hideMark/>
          </w:tcPr>
          <w:p w:rsidR="00016B34" w:rsidRPr="00016B34" w:rsidRDefault="00016B34" w:rsidP="00016B34">
            <w:pPr>
              <w:widowControl/>
              <w:wordWrap w:val="0"/>
              <w:spacing w:before="225" w:after="225"/>
              <w:jc w:val="left"/>
              <w:rPr>
                <w:rFonts w:ascii="inherit" w:eastAsia="宋体" w:hAnsi="inherit" w:cs="宋体"/>
                <w:kern w:val="0"/>
                <w:sz w:val="24"/>
                <w:szCs w:val="24"/>
              </w:rPr>
            </w:pPr>
            <w:r w:rsidRPr="00016B34">
              <w:rPr>
                <w:rFonts w:ascii="inherit" w:eastAsia="宋体" w:hAnsi="inherit" w:cs="宋体"/>
                <w:kern w:val="0"/>
                <w:sz w:val="24"/>
                <w:szCs w:val="24"/>
              </w:rPr>
              <w:t>第二十七条</w:t>
            </w:r>
            <w:r w:rsidRPr="00016B34">
              <w:rPr>
                <w:rFonts w:ascii="inherit" w:eastAsia="宋体" w:hAnsi="inherit" w:cs="宋体"/>
                <w:kern w:val="0"/>
                <w:sz w:val="24"/>
                <w:szCs w:val="24"/>
              </w:rPr>
              <w:t> </w:t>
            </w:r>
          </w:p>
        </w:tc>
        <w:tc>
          <w:tcPr>
            <w:tcW w:w="0" w:type="auto"/>
            <w:hideMark/>
          </w:tcPr>
          <w:p w:rsidR="00016B34" w:rsidRPr="00016B34" w:rsidRDefault="00016B34" w:rsidP="00016B34">
            <w:pPr>
              <w:widowControl/>
              <w:wordWrap w:val="0"/>
              <w:spacing w:after="150"/>
              <w:rPr>
                <w:rFonts w:ascii="inherit" w:eastAsia="宋体" w:hAnsi="inherit" w:cs="宋体"/>
                <w:kern w:val="0"/>
                <w:sz w:val="24"/>
                <w:szCs w:val="24"/>
              </w:rPr>
            </w:pPr>
            <w:r w:rsidRPr="00016B34">
              <w:rPr>
                <w:rFonts w:ascii="inherit" w:eastAsia="宋体" w:hAnsi="inherit" w:cs="宋体"/>
                <w:kern w:val="0"/>
                <w:sz w:val="24"/>
                <w:szCs w:val="24"/>
              </w:rPr>
              <w:t xml:space="preserve">　　本条例自公布之日起施行。</w:t>
            </w:r>
            <w:r w:rsidRPr="00016B34">
              <w:rPr>
                <w:rFonts w:ascii="inherit" w:eastAsia="宋体" w:hAnsi="inherit" w:cs="宋体"/>
                <w:kern w:val="0"/>
                <w:sz w:val="24"/>
                <w:szCs w:val="24"/>
              </w:rPr>
              <w:t>1987</w:t>
            </w:r>
            <w:r w:rsidRPr="00016B34">
              <w:rPr>
                <w:rFonts w:ascii="inherit" w:eastAsia="宋体" w:hAnsi="inherit" w:cs="宋体"/>
                <w:kern w:val="0"/>
                <w:sz w:val="24"/>
                <w:szCs w:val="24"/>
              </w:rPr>
              <w:t>年</w:t>
            </w:r>
            <w:r w:rsidRPr="00016B34">
              <w:rPr>
                <w:rFonts w:ascii="inherit" w:eastAsia="宋体" w:hAnsi="inherit" w:cs="宋体"/>
                <w:kern w:val="0"/>
                <w:sz w:val="24"/>
                <w:szCs w:val="24"/>
              </w:rPr>
              <w:t>4</w:t>
            </w:r>
            <w:r w:rsidRPr="00016B34">
              <w:rPr>
                <w:rFonts w:ascii="inherit" w:eastAsia="宋体" w:hAnsi="inherit" w:cs="宋体"/>
                <w:kern w:val="0"/>
                <w:sz w:val="24"/>
                <w:szCs w:val="24"/>
              </w:rPr>
              <w:t>月</w:t>
            </w:r>
            <w:r w:rsidRPr="00016B34">
              <w:rPr>
                <w:rFonts w:ascii="inherit" w:eastAsia="宋体" w:hAnsi="inherit" w:cs="宋体"/>
                <w:kern w:val="0"/>
                <w:sz w:val="24"/>
                <w:szCs w:val="24"/>
              </w:rPr>
              <w:t>24</w:t>
            </w:r>
            <w:r w:rsidRPr="00016B34">
              <w:rPr>
                <w:rFonts w:ascii="inherit" w:eastAsia="宋体" w:hAnsi="inherit" w:cs="宋体"/>
                <w:kern w:val="0"/>
                <w:sz w:val="24"/>
                <w:szCs w:val="24"/>
              </w:rPr>
              <w:t>日国务院发布的《广播电视设施保护条例》同时废止。</w:t>
            </w:r>
          </w:p>
        </w:tc>
      </w:tr>
    </w:tbl>
    <w:p w:rsidR="00946F67" w:rsidRPr="00C05443" w:rsidRDefault="00946F67"/>
    <w:sectPr w:rsidR="00946F67" w:rsidRPr="00C054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F67" w:rsidRDefault="00946F67" w:rsidP="00016B34">
      <w:r>
        <w:separator/>
      </w:r>
    </w:p>
  </w:endnote>
  <w:endnote w:type="continuationSeparator" w:id="1">
    <w:p w:rsidR="00946F67" w:rsidRDefault="00946F67" w:rsidP="00016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F67" w:rsidRDefault="00946F67" w:rsidP="00016B34">
      <w:r>
        <w:separator/>
      </w:r>
    </w:p>
  </w:footnote>
  <w:footnote w:type="continuationSeparator" w:id="1">
    <w:p w:rsidR="00946F67" w:rsidRDefault="00946F67" w:rsidP="00016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B34"/>
    <w:rsid w:val="00016B34"/>
    <w:rsid w:val="00946F67"/>
    <w:rsid w:val="00C05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6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6B34"/>
    <w:rPr>
      <w:sz w:val="18"/>
      <w:szCs w:val="18"/>
    </w:rPr>
  </w:style>
  <w:style w:type="paragraph" w:styleId="a4">
    <w:name w:val="footer"/>
    <w:basedOn w:val="a"/>
    <w:link w:val="Char0"/>
    <w:uiPriority w:val="99"/>
    <w:semiHidden/>
    <w:unhideWhenUsed/>
    <w:rsid w:val="00016B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6B34"/>
    <w:rPr>
      <w:sz w:val="18"/>
      <w:szCs w:val="18"/>
    </w:rPr>
  </w:style>
  <w:style w:type="paragraph" w:customStyle="1" w:styleId="textaligncenter1">
    <w:name w:val="textaligncenter1"/>
    <w:basedOn w:val="a"/>
    <w:rsid w:val="00016B34"/>
    <w:pPr>
      <w:widowControl/>
      <w:spacing w:after="225"/>
      <w:jc w:val="center"/>
    </w:pPr>
    <w:rPr>
      <w:rFonts w:ascii="inherit" w:eastAsia="宋体" w:hAnsi="inherit"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690035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724">
          <w:marLeft w:val="0"/>
          <w:marRight w:val="0"/>
          <w:marTop w:val="0"/>
          <w:marBottom w:val="0"/>
          <w:divBdr>
            <w:top w:val="none" w:sz="0" w:space="0" w:color="auto"/>
            <w:left w:val="none" w:sz="0" w:space="0" w:color="auto"/>
            <w:bottom w:val="none" w:sz="0" w:space="0" w:color="auto"/>
            <w:right w:val="none" w:sz="0" w:space="0" w:color="auto"/>
          </w:divBdr>
          <w:divsChild>
            <w:div w:id="1229993517">
              <w:marLeft w:val="0"/>
              <w:marRight w:val="0"/>
              <w:marTop w:val="0"/>
              <w:marBottom w:val="0"/>
              <w:divBdr>
                <w:top w:val="none" w:sz="0" w:space="0" w:color="auto"/>
                <w:left w:val="none" w:sz="0" w:space="0" w:color="auto"/>
                <w:bottom w:val="none" w:sz="0" w:space="0" w:color="auto"/>
                <w:right w:val="none" w:sz="0" w:space="0" w:color="auto"/>
              </w:divBdr>
              <w:divsChild>
                <w:div w:id="1268656089">
                  <w:marLeft w:val="0"/>
                  <w:marRight w:val="0"/>
                  <w:marTop w:val="0"/>
                  <w:marBottom w:val="0"/>
                  <w:divBdr>
                    <w:top w:val="none" w:sz="0" w:space="0" w:color="auto"/>
                    <w:left w:val="none" w:sz="0" w:space="0" w:color="auto"/>
                    <w:bottom w:val="none" w:sz="0" w:space="0" w:color="auto"/>
                    <w:right w:val="none" w:sz="0" w:space="0" w:color="auto"/>
                  </w:divBdr>
                  <w:divsChild>
                    <w:div w:id="226188600">
                      <w:marLeft w:val="0"/>
                      <w:marRight w:val="0"/>
                      <w:marTop w:val="0"/>
                      <w:marBottom w:val="0"/>
                      <w:divBdr>
                        <w:top w:val="single" w:sz="18" w:space="0" w:color="FFFFFF"/>
                        <w:left w:val="single" w:sz="18" w:space="0" w:color="FFFFFF"/>
                        <w:bottom w:val="single" w:sz="18" w:space="0" w:color="FFFFFF"/>
                        <w:right w:val="single" w:sz="18" w:space="0" w:color="FFFFFF"/>
                      </w:divBdr>
                      <w:divsChild>
                        <w:div w:id="983390301">
                          <w:marLeft w:val="0"/>
                          <w:marRight w:val="0"/>
                          <w:marTop w:val="0"/>
                          <w:marBottom w:val="0"/>
                          <w:divBdr>
                            <w:top w:val="none" w:sz="0" w:space="0" w:color="auto"/>
                            <w:left w:val="none" w:sz="0" w:space="0" w:color="auto"/>
                            <w:bottom w:val="none" w:sz="0" w:space="0" w:color="auto"/>
                            <w:right w:val="none" w:sz="0" w:space="0" w:color="auto"/>
                          </w:divBdr>
                          <w:divsChild>
                            <w:div w:id="1485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123">
      <w:bodyDiv w:val="1"/>
      <w:marLeft w:val="0"/>
      <w:marRight w:val="0"/>
      <w:marTop w:val="0"/>
      <w:marBottom w:val="0"/>
      <w:divBdr>
        <w:top w:val="none" w:sz="0" w:space="0" w:color="auto"/>
        <w:left w:val="none" w:sz="0" w:space="0" w:color="auto"/>
        <w:bottom w:val="none" w:sz="0" w:space="0" w:color="auto"/>
        <w:right w:val="none" w:sz="0" w:space="0" w:color="auto"/>
      </w:divBdr>
      <w:divsChild>
        <w:div w:id="1101947490">
          <w:marLeft w:val="0"/>
          <w:marRight w:val="0"/>
          <w:marTop w:val="0"/>
          <w:marBottom w:val="0"/>
          <w:divBdr>
            <w:top w:val="none" w:sz="0" w:space="0" w:color="auto"/>
            <w:left w:val="none" w:sz="0" w:space="0" w:color="auto"/>
            <w:bottom w:val="none" w:sz="0" w:space="0" w:color="auto"/>
            <w:right w:val="none" w:sz="0" w:space="0" w:color="auto"/>
          </w:divBdr>
          <w:divsChild>
            <w:div w:id="393744634">
              <w:marLeft w:val="0"/>
              <w:marRight w:val="0"/>
              <w:marTop w:val="0"/>
              <w:marBottom w:val="0"/>
              <w:divBdr>
                <w:top w:val="none" w:sz="0" w:space="0" w:color="auto"/>
                <w:left w:val="none" w:sz="0" w:space="0" w:color="auto"/>
                <w:bottom w:val="none" w:sz="0" w:space="0" w:color="auto"/>
                <w:right w:val="none" w:sz="0" w:space="0" w:color="auto"/>
              </w:divBdr>
              <w:divsChild>
                <w:div w:id="445152876">
                  <w:marLeft w:val="0"/>
                  <w:marRight w:val="0"/>
                  <w:marTop w:val="0"/>
                  <w:marBottom w:val="0"/>
                  <w:divBdr>
                    <w:top w:val="none" w:sz="0" w:space="0" w:color="auto"/>
                    <w:left w:val="none" w:sz="0" w:space="0" w:color="auto"/>
                    <w:bottom w:val="none" w:sz="0" w:space="0" w:color="auto"/>
                    <w:right w:val="none" w:sz="0" w:space="0" w:color="auto"/>
                  </w:divBdr>
                  <w:divsChild>
                    <w:div w:id="68157547">
                      <w:marLeft w:val="0"/>
                      <w:marRight w:val="0"/>
                      <w:marTop w:val="0"/>
                      <w:marBottom w:val="0"/>
                      <w:divBdr>
                        <w:top w:val="single" w:sz="18" w:space="0" w:color="FFFFFF"/>
                        <w:left w:val="single" w:sz="18" w:space="0" w:color="FFFFFF"/>
                        <w:bottom w:val="single" w:sz="18" w:space="0" w:color="FFFFFF"/>
                        <w:right w:val="single" w:sz="18" w:space="0" w:color="FFFFFF"/>
                      </w:divBdr>
                      <w:divsChild>
                        <w:div w:id="1454053728">
                          <w:marLeft w:val="0"/>
                          <w:marRight w:val="0"/>
                          <w:marTop w:val="0"/>
                          <w:marBottom w:val="0"/>
                          <w:divBdr>
                            <w:top w:val="none" w:sz="0" w:space="0" w:color="auto"/>
                            <w:left w:val="none" w:sz="0" w:space="0" w:color="auto"/>
                            <w:bottom w:val="none" w:sz="0" w:space="0" w:color="auto"/>
                            <w:right w:val="none" w:sz="0" w:space="0" w:color="auto"/>
                          </w:divBdr>
                          <w:divsChild>
                            <w:div w:id="642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84073">
      <w:bodyDiv w:val="1"/>
      <w:marLeft w:val="0"/>
      <w:marRight w:val="0"/>
      <w:marTop w:val="0"/>
      <w:marBottom w:val="0"/>
      <w:divBdr>
        <w:top w:val="none" w:sz="0" w:space="0" w:color="auto"/>
        <w:left w:val="none" w:sz="0" w:space="0" w:color="auto"/>
        <w:bottom w:val="none" w:sz="0" w:space="0" w:color="auto"/>
        <w:right w:val="none" w:sz="0" w:space="0" w:color="auto"/>
      </w:divBdr>
      <w:divsChild>
        <w:div w:id="1987932551">
          <w:marLeft w:val="0"/>
          <w:marRight w:val="0"/>
          <w:marTop w:val="0"/>
          <w:marBottom w:val="0"/>
          <w:divBdr>
            <w:top w:val="none" w:sz="0" w:space="0" w:color="auto"/>
            <w:left w:val="none" w:sz="0" w:space="0" w:color="auto"/>
            <w:bottom w:val="none" w:sz="0" w:space="0" w:color="auto"/>
            <w:right w:val="none" w:sz="0" w:space="0" w:color="auto"/>
          </w:divBdr>
          <w:divsChild>
            <w:div w:id="672999880">
              <w:marLeft w:val="0"/>
              <w:marRight w:val="0"/>
              <w:marTop w:val="0"/>
              <w:marBottom w:val="0"/>
              <w:divBdr>
                <w:top w:val="none" w:sz="0" w:space="0" w:color="auto"/>
                <w:left w:val="none" w:sz="0" w:space="0" w:color="auto"/>
                <w:bottom w:val="none" w:sz="0" w:space="0" w:color="auto"/>
                <w:right w:val="none" w:sz="0" w:space="0" w:color="auto"/>
              </w:divBdr>
              <w:divsChild>
                <w:div w:id="965621818">
                  <w:marLeft w:val="0"/>
                  <w:marRight w:val="0"/>
                  <w:marTop w:val="0"/>
                  <w:marBottom w:val="0"/>
                  <w:divBdr>
                    <w:top w:val="none" w:sz="0" w:space="0" w:color="auto"/>
                    <w:left w:val="none" w:sz="0" w:space="0" w:color="auto"/>
                    <w:bottom w:val="none" w:sz="0" w:space="0" w:color="auto"/>
                    <w:right w:val="none" w:sz="0" w:space="0" w:color="auto"/>
                  </w:divBdr>
                  <w:divsChild>
                    <w:div w:id="1273628640">
                      <w:marLeft w:val="0"/>
                      <w:marRight w:val="0"/>
                      <w:marTop w:val="0"/>
                      <w:marBottom w:val="0"/>
                      <w:divBdr>
                        <w:top w:val="single" w:sz="18" w:space="0" w:color="FFFFFF"/>
                        <w:left w:val="single" w:sz="18" w:space="0" w:color="FFFFFF"/>
                        <w:bottom w:val="single" w:sz="18" w:space="0" w:color="FFFFFF"/>
                        <w:right w:val="single" w:sz="18" w:space="0" w:color="FFFFFF"/>
                      </w:divBdr>
                      <w:divsChild>
                        <w:div w:id="272633268">
                          <w:marLeft w:val="0"/>
                          <w:marRight w:val="0"/>
                          <w:marTop w:val="0"/>
                          <w:marBottom w:val="0"/>
                          <w:divBdr>
                            <w:top w:val="none" w:sz="0" w:space="0" w:color="auto"/>
                            <w:left w:val="none" w:sz="0" w:space="0" w:color="auto"/>
                            <w:bottom w:val="none" w:sz="0" w:space="0" w:color="auto"/>
                            <w:right w:val="none" w:sz="0" w:space="0" w:color="auto"/>
                          </w:divBdr>
                          <w:divsChild>
                            <w:div w:id="9535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050378">
      <w:bodyDiv w:val="1"/>
      <w:marLeft w:val="0"/>
      <w:marRight w:val="0"/>
      <w:marTop w:val="0"/>
      <w:marBottom w:val="0"/>
      <w:divBdr>
        <w:top w:val="none" w:sz="0" w:space="0" w:color="auto"/>
        <w:left w:val="none" w:sz="0" w:space="0" w:color="auto"/>
        <w:bottom w:val="none" w:sz="0" w:space="0" w:color="auto"/>
        <w:right w:val="none" w:sz="0" w:space="0" w:color="auto"/>
      </w:divBdr>
      <w:divsChild>
        <w:div w:id="12534084">
          <w:marLeft w:val="0"/>
          <w:marRight w:val="0"/>
          <w:marTop w:val="0"/>
          <w:marBottom w:val="0"/>
          <w:divBdr>
            <w:top w:val="none" w:sz="0" w:space="0" w:color="auto"/>
            <w:left w:val="none" w:sz="0" w:space="0" w:color="auto"/>
            <w:bottom w:val="none" w:sz="0" w:space="0" w:color="auto"/>
            <w:right w:val="none" w:sz="0" w:space="0" w:color="auto"/>
          </w:divBdr>
          <w:divsChild>
            <w:div w:id="517087281">
              <w:marLeft w:val="0"/>
              <w:marRight w:val="0"/>
              <w:marTop w:val="0"/>
              <w:marBottom w:val="0"/>
              <w:divBdr>
                <w:top w:val="none" w:sz="0" w:space="0" w:color="auto"/>
                <w:left w:val="none" w:sz="0" w:space="0" w:color="auto"/>
                <w:bottom w:val="none" w:sz="0" w:space="0" w:color="auto"/>
                <w:right w:val="none" w:sz="0" w:space="0" w:color="auto"/>
              </w:divBdr>
              <w:divsChild>
                <w:div w:id="1522626962">
                  <w:marLeft w:val="0"/>
                  <w:marRight w:val="0"/>
                  <w:marTop w:val="0"/>
                  <w:marBottom w:val="0"/>
                  <w:divBdr>
                    <w:top w:val="none" w:sz="0" w:space="0" w:color="auto"/>
                    <w:left w:val="none" w:sz="0" w:space="0" w:color="auto"/>
                    <w:bottom w:val="none" w:sz="0" w:space="0" w:color="auto"/>
                    <w:right w:val="none" w:sz="0" w:space="0" w:color="auto"/>
                  </w:divBdr>
                  <w:divsChild>
                    <w:div w:id="3483396">
                      <w:marLeft w:val="0"/>
                      <w:marRight w:val="0"/>
                      <w:marTop w:val="0"/>
                      <w:marBottom w:val="0"/>
                      <w:divBdr>
                        <w:top w:val="single" w:sz="18" w:space="0" w:color="FFFFFF"/>
                        <w:left w:val="single" w:sz="18" w:space="0" w:color="FFFFFF"/>
                        <w:bottom w:val="single" w:sz="18" w:space="0" w:color="FFFFFF"/>
                        <w:right w:val="single" w:sz="18" w:space="0" w:color="FFFFFF"/>
                      </w:divBdr>
                      <w:divsChild>
                        <w:div w:id="2099279730">
                          <w:marLeft w:val="0"/>
                          <w:marRight w:val="0"/>
                          <w:marTop w:val="0"/>
                          <w:marBottom w:val="0"/>
                          <w:divBdr>
                            <w:top w:val="none" w:sz="0" w:space="0" w:color="auto"/>
                            <w:left w:val="none" w:sz="0" w:space="0" w:color="auto"/>
                            <w:bottom w:val="none" w:sz="0" w:space="0" w:color="auto"/>
                            <w:right w:val="none" w:sz="0" w:space="0" w:color="auto"/>
                          </w:divBdr>
                          <w:divsChild>
                            <w:div w:id="269504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3601</Characters>
  <Application>Microsoft Office Word</Application>
  <DocSecurity>0</DocSecurity>
  <Lines>30</Lines>
  <Paragraphs>8</Paragraphs>
  <ScaleCrop>false</ScaleCrop>
  <Company>China</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2019-12-31T02:23:00Z</dcterms:created>
  <dcterms:modified xsi:type="dcterms:W3CDTF">2019-12-31T02:24:00Z</dcterms:modified>
</cp:coreProperties>
</file>